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ascii="黑体" w:hAnsi="黑体" w:eastAsia="黑体"/>
          <w:sz w:val="28"/>
          <w:szCs w:val="28"/>
        </w:rPr>
      </w:pPr>
      <w:bookmarkStart w:id="1" w:name="_GoBack"/>
      <w:bookmarkEnd w:id="1"/>
      <w:r>
        <w:rPr>
          <w:rFonts w:hint="eastAsia" w:ascii="黑体" w:hAnsi="黑体" w:eastAsia="黑体"/>
          <w:sz w:val="28"/>
          <w:szCs w:val="28"/>
        </w:rPr>
        <w:t>附件3</w:t>
      </w:r>
    </w:p>
    <w:p>
      <w:pPr>
        <w:jc w:val="center"/>
        <w:rPr>
          <w:rFonts w:ascii="宋体"/>
          <w:sz w:val="44"/>
          <w:szCs w:val="44"/>
        </w:rPr>
      </w:pPr>
      <w:r>
        <w:rPr>
          <w:rFonts w:hint="eastAsia" w:ascii="宋体" w:hAnsi="宋体"/>
          <w:sz w:val="44"/>
          <w:szCs w:val="44"/>
        </w:rPr>
        <w:t>财政支出项目绩效评价报告</w:t>
      </w:r>
    </w:p>
    <w:p>
      <w:pPr>
        <w:jc w:val="center"/>
        <w:rPr>
          <w:rFonts w:ascii="仿宋" w:hAnsi="仿宋" w:eastAsia="仿宋"/>
          <w:sz w:val="32"/>
          <w:szCs w:val="32"/>
        </w:rPr>
      </w:pPr>
    </w:p>
    <w:p>
      <w:pPr>
        <w:ind w:firstLine="643" w:firstLineChars="200"/>
        <w:rPr>
          <w:rFonts w:asciiTheme="minorEastAsia" w:hAnsiTheme="minorEastAsia" w:eastAsiaTheme="minorEastAsia" w:cstheme="majorEastAsia"/>
          <w:b/>
          <w:bCs/>
          <w:sz w:val="32"/>
          <w:szCs w:val="32"/>
        </w:rPr>
      </w:pPr>
      <w:r>
        <w:rPr>
          <w:rFonts w:hint="eastAsia" w:asciiTheme="minorEastAsia" w:hAnsiTheme="minorEastAsia" w:eastAsiaTheme="minorEastAsia" w:cstheme="majorEastAsia"/>
          <w:b/>
          <w:bCs/>
          <w:sz w:val="32"/>
          <w:szCs w:val="32"/>
        </w:rPr>
        <w:t>一、项目概况</w:t>
      </w:r>
    </w:p>
    <w:p>
      <w:pPr>
        <w:ind w:firstLine="602" w:firstLineChars="200"/>
        <w:rPr>
          <w:rFonts w:cs="华文楷体" w:asciiTheme="minorEastAsia" w:hAnsiTheme="minorEastAsia" w:eastAsiaTheme="minorEastAsia"/>
          <w:b/>
          <w:bCs/>
          <w:sz w:val="30"/>
          <w:szCs w:val="30"/>
        </w:rPr>
      </w:pPr>
      <w:r>
        <w:rPr>
          <w:rFonts w:hint="eastAsia" w:cs="华文楷体" w:asciiTheme="minorEastAsia" w:hAnsiTheme="minorEastAsia" w:eastAsiaTheme="minorEastAsia"/>
          <w:b/>
          <w:bCs/>
          <w:sz w:val="30"/>
          <w:szCs w:val="30"/>
        </w:rPr>
        <w:t>（一）项目基本性质、用途和主要内容、涉及范围</w:t>
      </w:r>
    </w:p>
    <w:p>
      <w:pPr>
        <w:jc w:val="center"/>
        <w:rPr>
          <w:rFonts w:cs="华文楷体" w:asciiTheme="minorEastAsia" w:hAnsiTheme="minorEastAsia" w:eastAsiaTheme="minorEastAsia"/>
          <w:b/>
          <w:bCs/>
          <w:sz w:val="28"/>
          <w:szCs w:val="28"/>
        </w:rPr>
      </w:pPr>
      <w:r>
        <w:rPr>
          <w:rFonts w:hint="eastAsia" w:cs="华文楷体" w:asciiTheme="minorEastAsia" w:hAnsiTheme="minorEastAsia" w:eastAsiaTheme="minorEastAsia"/>
          <w:b/>
          <w:bCs/>
          <w:sz w:val="28"/>
          <w:szCs w:val="28"/>
        </w:rPr>
        <w:t>表1  项目基本性质、用途和主要内容、涉及范围</w:t>
      </w:r>
    </w:p>
    <w:tbl>
      <w:tblPr>
        <w:tblStyle w:val="7"/>
        <w:tblW w:w="7910" w:type="dxa"/>
        <w:jc w:val="center"/>
        <w:tblInd w:w="-7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667"/>
        <w:gridCol w:w="1440"/>
        <w:gridCol w:w="2722"/>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1" w:hRule="atLeast"/>
          <w:jc w:val="center"/>
        </w:trPr>
        <w:tc>
          <w:tcPr>
            <w:tcW w:w="656"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序号</w:t>
            </w:r>
          </w:p>
        </w:tc>
        <w:tc>
          <w:tcPr>
            <w:tcW w:w="1667"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主要内容</w:t>
            </w:r>
          </w:p>
        </w:tc>
        <w:tc>
          <w:tcPr>
            <w:tcW w:w="1440"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基本性质</w:t>
            </w:r>
          </w:p>
        </w:tc>
        <w:tc>
          <w:tcPr>
            <w:tcW w:w="2722"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用途</w:t>
            </w:r>
          </w:p>
        </w:tc>
        <w:tc>
          <w:tcPr>
            <w:tcW w:w="1425"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涉及范围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9" w:hRule="atLeast"/>
          <w:jc w:val="center"/>
        </w:trPr>
        <w:tc>
          <w:tcPr>
            <w:tcW w:w="656"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1</w:t>
            </w:r>
          </w:p>
        </w:tc>
        <w:tc>
          <w:tcPr>
            <w:tcW w:w="1667"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海甸三西路片保安及城西校区物业服务外包</w:t>
            </w:r>
          </w:p>
        </w:tc>
        <w:tc>
          <w:tcPr>
            <w:tcW w:w="1440"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物业服务</w:t>
            </w:r>
          </w:p>
        </w:tc>
        <w:tc>
          <w:tcPr>
            <w:tcW w:w="2722" w:type="dxa"/>
            <w:vAlign w:val="center"/>
          </w:tcPr>
          <w:p>
            <w:pPr>
              <w:spacing w:line="300" w:lineRule="exact"/>
              <w:outlineLvl w:val="0"/>
              <w:rPr>
                <w:rFonts w:ascii="华文仿宋" w:hAnsi="华文仿宋" w:eastAsia="华文仿宋"/>
                <w:sz w:val="24"/>
              </w:rPr>
            </w:pPr>
            <w:r>
              <w:rPr>
                <w:rFonts w:ascii="华文仿宋" w:hAnsi="华文仿宋" w:eastAsia="华文仿宋"/>
                <w:sz w:val="24"/>
              </w:rPr>
              <w:t>维护</w:t>
            </w:r>
            <w:r>
              <w:rPr>
                <w:rFonts w:hint="eastAsia" w:ascii="华文仿宋" w:hAnsi="华文仿宋" w:eastAsia="华文仿宋"/>
                <w:sz w:val="24"/>
              </w:rPr>
              <w:t>海甸校区门岗</w:t>
            </w:r>
            <w:r>
              <w:rPr>
                <w:rFonts w:ascii="华文仿宋" w:hAnsi="华文仿宋" w:eastAsia="华文仿宋"/>
                <w:sz w:val="24"/>
              </w:rPr>
              <w:t>秩序</w:t>
            </w:r>
            <w:r>
              <w:rPr>
                <w:rFonts w:hint="eastAsia" w:ascii="华文仿宋" w:hAnsi="华文仿宋" w:eastAsia="华文仿宋"/>
                <w:sz w:val="24"/>
              </w:rPr>
              <w:t>和住宅区安全；城西校区校园环境、公寓楼及综合楼卫生保洁。</w:t>
            </w:r>
          </w:p>
        </w:tc>
        <w:tc>
          <w:tcPr>
            <w:tcW w:w="1425"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物业管理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3" w:hRule="atLeast"/>
          <w:jc w:val="center"/>
        </w:trPr>
        <w:tc>
          <w:tcPr>
            <w:tcW w:w="656"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2</w:t>
            </w:r>
          </w:p>
        </w:tc>
        <w:tc>
          <w:tcPr>
            <w:tcW w:w="1667"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海甸校区校园环境及绿化养护专项</w:t>
            </w:r>
          </w:p>
        </w:tc>
        <w:tc>
          <w:tcPr>
            <w:tcW w:w="1440"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绿化维护</w:t>
            </w:r>
          </w:p>
        </w:tc>
        <w:tc>
          <w:tcPr>
            <w:tcW w:w="2722" w:type="dxa"/>
            <w:vAlign w:val="center"/>
          </w:tcPr>
          <w:p>
            <w:pPr>
              <w:spacing w:line="300" w:lineRule="exact"/>
              <w:outlineLvl w:val="0"/>
              <w:rPr>
                <w:rFonts w:ascii="华文仿宋" w:hAnsi="华文仿宋" w:eastAsia="华文仿宋"/>
                <w:sz w:val="24"/>
              </w:rPr>
            </w:pPr>
            <w:r>
              <w:rPr>
                <w:rFonts w:hint="eastAsia" w:ascii="华文仿宋" w:hAnsi="华文仿宋" w:eastAsia="华文仿宋"/>
                <w:sz w:val="24"/>
              </w:rPr>
              <w:t>苗木补种；绿篱和花坛施肥；淤泥和楼顶清理；解决楼顶雨天积水、排水不畅等问题。</w:t>
            </w:r>
          </w:p>
        </w:tc>
        <w:tc>
          <w:tcPr>
            <w:tcW w:w="1425"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绿化养护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9" w:hRule="atLeast"/>
          <w:jc w:val="center"/>
        </w:trPr>
        <w:tc>
          <w:tcPr>
            <w:tcW w:w="656"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3</w:t>
            </w:r>
          </w:p>
        </w:tc>
        <w:tc>
          <w:tcPr>
            <w:tcW w:w="1667"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 xml:space="preserve"> 海甸校区、儋州校区学校垃圾清运处理等卫生专项</w:t>
            </w:r>
          </w:p>
        </w:tc>
        <w:tc>
          <w:tcPr>
            <w:tcW w:w="1440"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环境维护</w:t>
            </w:r>
          </w:p>
        </w:tc>
        <w:tc>
          <w:tcPr>
            <w:tcW w:w="2722" w:type="dxa"/>
            <w:vAlign w:val="center"/>
          </w:tcPr>
          <w:p>
            <w:pPr>
              <w:spacing w:line="300" w:lineRule="exact"/>
              <w:outlineLvl w:val="0"/>
              <w:rPr>
                <w:rFonts w:ascii="华文仿宋" w:hAnsi="华文仿宋" w:eastAsia="华文仿宋"/>
                <w:sz w:val="24"/>
              </w:rPr>
            </w:pPr>
            <w:r>
              <w:rPr>
                <w:rFonts w:hint="eastAsia" w:ascii="华文仿宋" w:hAnsi="华文仿宋" w:eastAsia="华文仿宋"/>
                <w:sz w:val="24"/>
              </w:rPr>
              <w:t>海甸校区绿化垃圾和生活垃圾的日产日清</w:t>
            </w:r>
          </w:p>
        </w:tc>
        <w:tc>
          <w:tcPr>
            <w:tcW w:w="1425"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环境保洁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9" w:hRule="atLeast"/>
          <w:jc w:val="center"/>
        </w:trPr>
        <w:tc>
          <w:tcPr>
            <w:tcW w:w="656"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4</w:t>
            </w:r>
          </w:p>
        </w:tc>
        <w:tc>
          <w:tcPr>
            <w:tcW w:w="1667"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校园文化建设</w:t>
            </w:r>
          </w:p>
        </w:tc>
        <w:tc>
          <w:tcPr>
            <w:tcW w:w="1440" w:type="dxa"/>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文化宣传</w:t>
            </w:r>
          </w:p>
        </w:tc>
        <w:tc>
          <w:tcPr>
            <w:tcW w:w="2722" w:type="dxa"/>
            <w:vAlign w:val="center"/>
          </w:tcPr>
          <w:p>
            <w:pPr>
              <w:spacing w:line="300" w:lineRule="exact"/>
              <w:outlineLvl w:val="0"/>
              <w:rPr>
                <w:rFonts w:ascii="华文仿宋" w:hAnsi="华文仿宋" w:eastAsia="华文仿宋"/>
                <w:sz w:val="24"/>
              </w:rPr>
            </w:pPr>
            <w:r>
              <w:rPr>
                <w:rFonts w:hint="eastAsia" w:ascii="华文仿宋" w:hAnsi="华文仿宋" w:eastAsia="华文仿宋"/>
                <w:sz w:val="24"/>
              </w:rPr>
              <w:t>通过形式多样的方式，开展各类校园文化活动，增强校园文化建设,丰富大学生校园文化生活，为社会主义建设培养高素质人才，提高学校在国内外的影响力和知名度。</w:t>
            </w:r>
          </w:p>
        </w:tc>
        <w:tc>
          <w:tcPr>
            <w:tcW w:w="1425" w:type="dxa"/>
            <w:vAlign w:val="center"/>
          </w:tcPr>
          <w:p>
            <w:pPr>
              <w:spacing w:line="300" w:lineRule="exact"/>
              <w:outlineLvl w:val="0"/>
              <w:rPr>
                <w:rFonts w:ascii="华文仿宋" w:hAnsi="华文仿宋" w:eastAsia="华文仿宋"/>
                <w:sz w:val="24"/>
              </w:rPr>
            </w:pPr>
            <w:r>
              <w:rPr>
                <w:rFonts w:hint="eastAsia" w:ascii="华文仿宋" w:hAnsi="华文仿宋" w:eastAsia="华文仿宋"/>
                <w:sz w:val="24"/>
              </w:rPr>
              <w:t>举办校园文化活动，出版书籍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79" w:hRule="atLeast"/>
          <w:jc w:val="center"/>
        </w:trPr>
        <w:tc>
          <w:tcPr>
            <w:tcW w:w="656" w:type="dxa"/>
            <w:shd w:val="clear" w:color="FFFF00" w:fill="auto"/>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5</w:t>
            </w:r>
          </w:p>
        </w:tc>
        <w:tc>
          <w:tcPr>
            <w:tcW w:w="1667" w:type="dxa"/>
            <w:shd w:val="clear" w:color="FFFF00" w:fill="auto"/>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sz w:val="24"/>
              </w:rPr>
              <w:t>基层党建科学化建设</w:t>
            </w:r>
          </w:p>
        </w:tc>
        <w:tc>
          <w:tcPr>
            <w:tcW w:w="1440" w:type="dxa"/>
            <w:shd w:val="clear" w:color="FFFF00" w:fill="auto"/>
            <w:vAlign w:val="center"/>
          </w:tcPr>
          <w:p>
            <w:pPr>
              <w:spacing w:line="300" w:lineRule="exact"/>
              <w:jc w:val="center"/>
              <w:outlineLvl w:val="0"/>
              <w:rPr>
                <w:rFonts w:ascii="华文仿宋" w:hAnsi="华文仿宋" w:eastAsia="华文仿宋"/>
                <w:sz w:val="24"/>
              </w:rPr>
            </w:pPr>
            <w:r>
              <w:rPr>
                <w:rFonts w:hint="eastAsia" w:ascii="华文仿宋" w:hAnsi="华文仿宋" w:eastAsia="华文仿宋" w:cs="宋体"/>
                <w:kern w:val="0"/>
                <w:sz w:val="24"/>
                <w:lang w:val="zh-CN"/>
              </w:rPr>
              <w:t>干部培训</w:t>
            </w:r>
          </w:p>
        </w:tc>
        <w:tc>
          <w:tcPr>
            <w:tcW w:w="2722" w:type="dxa"/>
            <w:shd w:val="clear" w:color="FFFF00" w:fill="auto"/>
            <w:vAlign w:val="center"/>
          </w:tcPr>
          <w:p>
            <w:pPr>
              <w:spacing w:line="300" w:lineRule="exact"/>
              <w:outlineLvl w:val="0"/>
              <w:rPr>
                <w:rFonts w:ascii="华文仿宋" w:hAnsi="华文仿宋" w:eastAsia="华文仿宋"/>
                <w:sz w:val="24"/>
              </w:rPr>
            </w:pPr>
            <w:r>
              <w:rPr>
                <w:rFonts w:hint="eastAsia" w:ascii="华文仿宋" w:hAnsi="华文仿宋" w:eastAsia="华文仿宋"/>
                <w:bCs/>
                <w:sz w:val="24"/>
              </w:rPr>
              <w:t>学习培训，</w:t>
            </w:r>
            <w:r>
              <w:rPr>
                <w:rFonts w:hint="eastAsia" w:ascii="华文仿宋" w:hAnsi="华文仿宋" w:eastAsia="华文仿宋"/>
                <w:sz w:val="24"/>
              </w:rPr>
              <w:t>提高干部理论政策水平</w:t>
            </w:r>
          </w:p>
        </w:tc>
        <w:tc>
          <w:tcPr>
            <w:tcW w:w="1425" w:type="dxa"/>
            <w:shd w:val="clear" w:color="FFFF00" w:fill="auto"/>
            <w:vAlign w:val="center"/>
          </w:tcPr>
          <w:p>
            <w:pPr>
              <w:spacing w:line="300" w:lineRule="exact"/>
              <w:outlineLvl w:val="0"/>
              <w:rPr>
                <w:rFonts w:ascii="华文仿宋" w:hAnsi="华文仿宋" w:eastAsia="华文仿宋"/>
                <w:sz w:val="24"/>
              </w:rPr>
            </w:pPr>
            <w:r>
              <w:rPr>
                <w:rFonts w:hint="eastAsia" w:ascii="华文仿宋" w:hAnsi="华文仿宋" w:eastAsia="华文仿宋"/>
                <w:bCs/>
                <w:sz w:val="24"/>
              </w:rPr>
              <w:t>科级和中层干部及党务工作骨干部</w:t>
            </w:r>
          </w:p>
        </w:tc>
      </w:tr>
    </w:tbl>
    <w:p>
      <w:pPr>
        <w:ind w:firstLine="602" w:firstLineChars="200"/>
        <w:rPr>
          <w:rFonts w:cs="华文楷体" w:asciiTheme="minorEastAsia" w:hAnsiTheme="minorEastAsia" w:eastAsiaTheme="minorEastAsia"/>
          <w:b/>
          <w:bCs/>
          <w:sz w:val="30"/>
          <w:szCs w:val="30"/>
        </w:rPr>
      </w:pPr>
      <w:r>
        <w:rPr>
          <w:rFonts w:hint="eastAsia" w:cs="华文楷体" w:asciiTheme="minorEastAsia" w:hAnsiTheme="minorEastAsia" w:eastAsiaTheme="minorEastAsia"/>
          <w:b/>
          <w:bCs/>
          <w:sz w:val="30"/>
          <w:szCs w:val="30"/>
        </w:rPr>
        <w:t>（二）项目绩效目标</w:t>
      </w:r>
    </w:p>
    <w:p>
      <w:pPr>
        <w:tabs>
          <w:tab w:val="right" w:pos="8204"/>
        </w:tabs>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asciiTheme="minorEastAsia" w:hAnsiTheme="minorEastAsia" w:eastAsiaTheme="minorEastAsia" w:cstheme="minorEastAsia"/>
          <w:sz w:val="28"/>
          <w:szCs w:val="28"/>
        </w:rPr>
        <w:t>海南大学校园文化与后勤产业管理</w:t>
      </w:r>
      <w:r>
        <w:rPr>
          <w:rFonts w:hint="eastAsia" w:cs="仿宋" w:asciiTheme="minorEastAsia" w:hAnsiTheme="minorEastAsia" w:eastAsiaTheme="minorEastAsia"/>
          <w:kern w:val="0"/>
          <w:sz w:val="28"/>
          <w:szCs w:val="28"/>
          <w:lang w:val="zh-CN"/>
        </w:rPr>
        <w:t>预期总目标是提高学校文化品位，促进学生全面发展，改善校园环境，为师生员工提供良好的工作、生活和学习环境，具体如下：</w:t>
      </w:r>
    </w:p>
    <w:p>
      <w:pPr>
        <w:numPr>
          <w:ilvl w:val="0"/>
          <w:numId w:val="1"/>
        </w:numPr>
        <w:tabs>
          <w:tab w:val="right" w:pos="8204"/>
        </w:tabs>
        <w:autoSpaceDE w:val="0"/>
        <w:autoSpaceDN w:val="0"/>
        <w:adjustRightInd w:val="0"/>
        <w:spacing w:line="360" w:lineRule="auto"/>
        <w:ind w:firstLine="600"/>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接受海南大学和</w:t>
      </w:r>
      <w:bookmarkStart w:id="0" w:name="OLE_LINK1"/>
      <w:r>
        <w:rPr>
          <w:rFonts w:hint="eastAsia" w:cs="仿宋" w:asciiTheme="minorEastAsia" w:hAnsiTheme="minorEastAsia" w:eastAsiaTheme="minorEastAsia"/>
          <w:kern w:val="0"/>
          <w:sz w:val="28"/>
          <w:szCs w:val="28"/>
        </w:rPr>
        <w:t>师生事务保障中心</w:t>
      </w:r>
      <w:bookmarkEnd w:id="0"/>
      <w:r>
        <w:rPr>
          <w:rFonts w:hint="eastAsia" w:cs="仿宋" w:asciiTheme="minorEastAsia" w:hAnsiTheme="minorEastAsia" w:eastAsiaTheme="minorEastAsia"/>
          <w:kern w:val="0"/>
          <w:sz w:val="28"/>
          <w:szCs w:val="28"/>
        </w:rPr>
        <w:t>的检查、监督、指导及工作安排，并按服务标准做好相关保安管理和卫生保洁工作，定期向师生事务保障中心报告服务实施情况。</w:t>
      </w:r>
    </w:p>
    <w:p>
      <w:pPr>
        <w:numPr>
          <w:ilvl w:val="0"/>
          <w:numId w:val="1"/>
        </w:numPr>
        <w:tabs>
          <w:tab w:val="right" w:pos="8204"/>
        </w:tabs>
        <w:autoSpaceDE w:val="0"/>
        <w:autoSpaceDN w:val="0"/>
        <w:adjustRightInd w:val="0"/>
        <w:spacing w:line="360" w:lineRule="auto"/>
        <w:ind w:firstLine="600"/>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保持整洁、舒适的校园环境，</w:t>
      </w:r>
      <w:r>
        <w:rPr>
          <w:rFonts w:hint="eastAsia" w:cs="仿宋" w:asciiTheme="minorEastAsia" w:hAnsiTheme="minorEastAsia" w:eastAsiaTheme="minorEastAsia"/>
          <w:kern w:val="0"/>
          <w:sz w:val="28"/>
          <w:szCs w:val="28"/>
          <w:lang w:val="zh-CN"/>
        </w:rPr>
        <w:t>为师生员工提供良好的工作、生活和学习环境</w:t>
      </w:r>
      <w:r>
        <w:rPr>
          <w:rFonts w:hint="eastAsia" w:cs="仿宋" w:asciiTheme="minorEastAsia" w:hAnsiTheme="minorEastAsia" w:eastAsiaTheme="minorEastAsia"/>
          <w:kern w:val="0"/>
          <w:sz w:val="28"/>
          <w:szCs w:val="28"/>
        </w:rPr>
        <w:t>，有效地改善校园绿化，确保美化校园。</w:t>
      </w:r>
    </w:p>
    <w:p>
      <w:pPr>
        <w:numPr>
          <w:ilvl w:val="0"/>
          <w:numId w:val="1"/>
        </w:numPr>
        <w:tabs>
          <w:tab w:val="right" w:pos="8204"/>
        </w:tabs>
        <w:autoSpaceDE w:val="0"/>
        <w:autoSpaceDN w:val="0"/>
        <w:adjustRightInd w:val="0"/>
        <w:spacing w:line="360" w:lineRule="auto"/>
        <w:ind w:firstLine="600"/>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能够有效地创建校园文化精品，强化道德养成功能，提高学校文化品位，促进学生全面发展。遵循文化发展规律，以人文修养培育为底蕴，以建设优良校风、教风、学风为核心，以优化校园文化环境为重点，以培养学生树立正确的世界观、人生观、价值观为导向，加强内涵丰富的校园人文环境建设，营造良好的育人环境和氛围，不断满足大学生日益增长的精神文化需要。</w:t>
      </w:r>
    </w:p>
    <w:p>
      <w:pPr>
        <w:shd w:val="clear" w:color="FFFFFF" w:themeColor="background1" w:fill="auto"/>
        <w:tabs>
          <w:tab w:val="right" w:pos="8204"/>
        </w:tabs>
        <w:autoSpaceDE w:val="0"/>
        <w:autoSpaceDN w:val="0"/>
        <w:adjustRightInd w:val="0"/>
        <w:spacing w:line="360" w:lineRule="auto"/>
        <w:ind w:firstLine="560" w:firstLineChars="200"/>
        <w:rPr>
          <w:rFonts w:cs="仿宋" w:asciiTheme="minorEastAsia" w:hAnsiTheme="minorEastAsia" w:eastAsiaTheme="minorEastAsia"/>
          <w:color w:val="000000" w:themeColor="text1"/>
          <w:kern w:val="0"/>
          <w:sz w:val="28"/>
          <w:szCs w:val="28"/>
        </w:rPr>
      </w:pPr>
      <w:r>
        <w:rPr>
          <w:rFonts w:hint="eastAsia" w:cs="仿宋" w:asciiTheme="minorEastAsia" w:hAnsiTheme="minorEastAsia" w:eastAsiaTheme="minorEastAsia"/>
          <w:color w:val="000000" w:themeColor="text1"/>
          <w:kern w:val="0"/>
          <w:sz w:val="28"/>
          <w:szCs w:val="28"/>
        </w:rPr>
        <w:t>4、基层党建科学化建设通过对不同层次、不同类别干部进行培训，切实提高理论政策水平和业务工作能力，进而提高工作质量和效率，促进学校世界一流学科建设步伐。</w:t>
      </w:r>
    </w:p>
    <w:p>
      <w:pPr>
        <w:numPr>
          <w:ilvl w:val="0"/>
          <w:numId w:val="2"/>
        </w:numPr>
        <w:ind w:firstLine="643" w:firstLineChars="200"/>
        <w:rPr>
          <w:rFonts w:asciiTheme="minorEastAsia" w:hAnsiTheme="minorEastAsia" w:eastAsiaTheme="minorEastAsia" w:cstheme="majorEastAsia"/>
          <w:b/>
          <w:bCs/>
          <w:sz w:val="32"/>
          <w:szCs w:val="32"/>
        </w:rPr>
      </w:pPr>
      <w:r>
        <w:rPr>
          <w:rFonts w:asciiTheme="minorEastAsia" w:hAnsiTheme="minorEastAsia" w:eastAsiaTheme="minorEastAsia" w:cstheme="majorEastAsia"/>
          <w:b/>
          <w:bCs/>
          <w:sz w:val="32"/>
          <w:szCs w:val="32"/>
        </w:rPr>
        <w:t>项目资金使用及管理情况</w:t>
      </w:r>
    </w:p>
    <w:p>
      <w:pPr>
        <w:autoSpaceDE w:val="0"/>
        <w:autoSpaceDN w:val="0"/>
        <w:adjustRightInd w:val="0"/>
        <w:spacing w:line="360" w:lineRule="auto"/>
        <w:ind w:firstLine="602" w:firstLineChars="200"/>
        <w:rPr>
          <w:rFonts w:cs="华文楷体" w:asciiTheme="minorEastAsia" w:hAnsiTheme="minorEastAsia" w:eastAsiaTheme="minorEastAsia"/>
          <w:kern w:val="0"/>
          <w:sz w:val="30"/>
          <w:szCs w:val="30"/>
          <w:lang w:val="zh-CN"/>
        </w:rPr>
      </w:pPr>
      <w:r>
        <w:rPr>
          <w:rFonts w:hint="eastAsia" w:cs="华文楷体" w:asciiTheme="minorEastAsia" w:hAnsiTheme="minorEastAsia" w:eastAsiaTheme="minorEastAsia"/>
          <w:b/>
          <w:kern w:val="0"/>
          <w:sz w:val="30"/>
          <w:szCs w:val="30"/>
          <w:lang w:val="zh-CN"/>
        </w:rPr>
        <w:t>（一）项目资金到位情况分析（包括财政资金、自筹资金等）</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项目计划资金660万元，实际到位660万元，全部为财政资金，资金到位率100%。</w:t>
      </w:r>
    </w:p>
    <w:p>
      <w:pPr>
        <w:autoSpaceDE w:val="0"/>
        <w:autoSpaceDN w:val="0"/>
        <w:adjustRightInd w:val="0"/>
        <w:spacing w:line="360" w:lineRule="auto"/>
        <w:ind w:firstLine="600"/>
        <w:rPr>
          <w:rFonts w:cs="华文楷体" w:asciiTheme="minorEastAsia" w:hAnsiTheme="minorEastAsia" w:eastAsiaTheme="minorEastAsia"/>
          <w:b/>
          <w:kern w:val="0"/>
          <w:sz w:val="30"/>
          <w:szCs w:val="30"/>
          <w:lang w:val="zh-CN"/>
        </w:rPr>
      </w:pPr>
      <w:r>
        <w:rPr>
          <w:rFonts w:hint="eastAsia" w:cs="华文楷体" w:asciiTheme="minorEastAsia" w:hAnsiTheme="minorEastAsia" w:eastAsiaTheme="minorEastAsia"/>
          <w:b/>
          <w:kern w:val="0"/>
          <w:sz w:val="30"/>
          <w:szCs w:val="30"/>
          <w:lang w:val="zh-CN"/>
        </w:rPr>
        <w:t>（二）项目资金使用情况分析</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本项目资金到位率</w:t>
      </w:r>
      <w:r>
        <w:rPr>
          <w:rFonts w:cs="仿宋" w:asciiTheme="minorEastAsia" w:hAnsiTheme="minorEastAsia" w:eastAsiaTheme="minorEastAsia"/>
          <w:kern w:val="0"/>
          <w:sz w:val="28"/>
          <w:szCs w:val="28"/>
          <w:lang w:val="zh-CN"/>
        </w:rPr>
        <w:t>100%</w:t>
      </w:r>
      <w:r>
        <w:rPr>
          <w:rFonts w:hint="eastAsia" w:cs="仿宋" w:asciiTheme="minorEastAsia" w:hAnsiTheme="minorEastAsia" w:eastAsiaTheme="minorEastAsia"/>
          <w:kern w:val="0"/>
          <w:sz w:val="28"/>
          <w:szCs w:val="28"/>
          <w:lang w:val="zh-CN"/>
        </w:rPr>
        <w:t>。在项目执行过程中，我们严格对项目经费实行专款专用，明确项目管理和实施的具体责任单位和责任人，强化资金使用的监督，包括经费使用前预算和计划的审核审批、经费使用过程中预算执行情况和程序的监督、经费使用后支出内容真实、合理、合法性的审核监督等。确保了资金的使用效率和项目的顺利实施，使师生满意率达到</w:t>
      </w:r>
      <w:r>
        <w:rPr>
          <w:rFonts w:cs="仿宋" w:asciiTheme="minorEastAsia" w:hAnsiTheme="minorEastAsia" w:eastAsiaTheme="minorEastAsia"/>
          <w:kern w:val="0"/>
          <w:sz w:val="28"/>
          <w:szCs w:val="28"/>
          <w:lang w:val="zh-CN"/>
        </w:rPr>
        <w:t>95%</w:t>
      </w:r>
      <w:r>
        <w:rPr>
          <w:rFonts w:hint="eastAsia" w:cs="仿宋" w:asciiTheme="minorEastAsia" w:hAnsiTheme="minorEastAsia" w:eastAsiaTheme="minorEastAsia"/>
          <w:kern w:val="0"/>
          <w:sz w:val="28"/>
          <w:szCs w:val="28"/>
          <w:lang w:val="zh-CN"/>
        </w:rPr>
        <w:t>。资金具体使用情况见表</w:t>
      </w:r>
      <w:r>
        <w:rPr>
          <w:rFonts w:cs="仿宋" w:asciiTheme="minorEastAsia" w:hAnsiTheme="minorEastAsia" w:eastAsiaTheme="minorEastAsia"/>
          <w:kern w:val="0"/>
          <w:sz w:val="28"/>
          <w:szCs w:val="28"/>
          <w:lang w:val="zh-CN"/>
        </w:rPr>
        <w:t>2</w:t>
      </w:r>
      <w:r>
        <w:rPr>
          <w:rFonts w:hint="eastAsia" w:cs="仿宋" w:asciiTheme="minorEastAsia" w:hAnsiTheme="minorEastAsia" w:eastAsiaTheme="minorEastAsia"/>
          <w:kern w:val="0"/>
          <w:sz w:val="28"/>
          <w:szCs w:val="28"/>
          <w:lang w:val="zh-CN"/>
        </w:rPr>
        <w:t>。</w:t>
      </w:r>
    </w:p>
    <w:p>
      <w:pPr>
        <w:autoSpaceDE w:val="0"/>
        <w:autoSpaceDN w:val="0"/>
        <w:adjustRightInd w:val="0"/>
        <w:spacing w:line="360" w:lineRule="auto"/>
        <w:jc w:val="center"/>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b/>
          <w:bCs/>
          <w:kern w:val="0"/>
          <w:sz w:val="28"/>
          <w:szCs w:val="28"/>
          <w:lang w:val="zh-CN"/>
        </w:rPr>
        <w:t>表</w:t>
      </w:r>
      <w:r>
        <w:rPr>
          <w:rFonts w:cs="仿宋" w:asciiTheme="minorEastAsia" w:hAnsiTheme="minorEastAsia" w:eastAsiaTheme="minorEastAsia"/>
          <w:b/>
          <w:bCs/>
          <w:kern w:val="0"/>
          <w:sz w:val="28"/>
          <w:szCs w:val="28"/>
          <w:lang w:val="zh-CN"/>
        </w:rPr>
        <w:t xml:space="preserve">2  </w:t>
      </w:r>
      <w:r>
        <w:rPr>
          <w:rFonts w:hint="eastAsia" w:cs="仿宋" w:asciiTheme="minorEastAsia" w:hAnsiTheme="minorEastAsia" w:eastAsiaTheme="minorEastAsia"/>
          <w:b/>
          <w:bCs/>
          <w:kern w:val="0"/>
          <w:sz w:val="28"/>
          <w:szCs w:val="28"/>
          <w:lang w:val="zh-CN"/>
        </w:rPr>
        <w:t>校园文化与后勤产业管理项目资金使用情况表</w:t>
      </w:r>
    </w:p>
    <w:tbl>
      <w:tblPr>
        <w:tblStyle w:val="7"/>
        <w:tblW w:w="7748" w:type="dxa"/>
        <w:jc w:val="center"/>
        <w:tblInd w:w="-802" w:type="dxa"/>
        <w:tblLayout w:type="fixed"/>
        <w:tblCellMar>
          <w:top w:w="0" w:type="dxa"/>
          <w:left w:w="108" w:type="dxa"/>
          <w:bottom w:w="0" w:type="dxa"/>
          <w:right w:w="108" w:type="dxa"/>
        </w:tblCellMar>
      </w:tblPr>
      <w:tblGrid>
        <w:gridCol w:w="3002"/>
        <w:gridCol w:w="1545"/>
        <w:gridCol w:w="1691"/>
        <w:gridCol w:w="1510"/>
      </w:tblGrid>
      <w:tr>
        <w:tblPrEx>
          <w:tblLayout w:type="fixed"/>
          <w:tblCellMar>
            <w:top w:w="0" w:type="dxa"/>
            <w:left w:w="108" w:type="dxa"/>
            <w:bottom w:w="0" w:type="dxa"/>
            <w:right w:w="108" w:type="dxa"/>
          </w:tblCellMar>
        </w:tblPrEx>
        <w:trPr>
          <w:trHeight w:val="1008"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lang w:val="zh-CN"/>
              </w:rPr>
              <w:t>项目名称</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lang w:val="zh-CN"/>
              </w:rPr>
              <w:t>下达资金（元）</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lang w:val="zh-CN"/>
              </w:rPr>
              <w:t>已使用（元）</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lang w:val="zh-CN"/>
              </w:rPr>
              <w:t>未使用（元）</w:t>
            </w:r>
          </w:p>
        </w:tc>
      </w:tr>
      <w:tr>
        <w:tblPrEx>
          <w:tblLayout w:type="fixed"/>
          <w:tblCellMar>
            <w:top w:w="0" w:type="dxa"/>
            <w:left w:w="108" w:type="dxa"/>
            <w:bottom w:w="0" w:type="dxa"/>
            <w:right w:w="108" w:type="dxa"/>
          </w:tblCellMar>
        </w:tblPrEx>
        <w:trPr>
          <w:trHeight w:val="980"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tabs>
                <w:tab w:val="left" w:pos="720"/>
                <w:tab w:val="left" w:pos="3600"/>
              </w:tabs>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lang w:val="zh-CN"/>
              </w:rPr>
              <w:t>海甸三西路片保安及城西物业服务外包</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1,600,000.00</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rPr>
              <w:t>1,600,000.00</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spacing w:line="288" w:lineRule="auto"/>
              <w:jc w:val="center"/>
              <w:rPr>
                <w:rFonts w:ascii="华文仿宋" w:hAnsi="华文仿宋" w:eastAsia="华文仿宋"/>
                <w:sz w:val="24"/>
              </w:rPr>
            </w:pPr>
            <w:r>
              <w:rPr>
                <w:rFonts w:ascii="华文仿宋" w:hAnsi="华文仿宋" w:eastAsia="华文仿宋"/>
                <w:sz w:val="24"/>
              </w:rPr>
              <w:t>0</w:t>
            </w:r>
          </w:p>
        </w:tc>
      </w:tr>
      <w:tr>
        <w:tblPrEx>
          <w:tblLayout w:type="fixed"/>
          <w:tblCellMar>
            <w:top w:w="0" w:type="dxa"/>
            <w:left w:w="108" w:type="dxa"/>
            <w:bottom w:w="0" w:type="dxa"/>
            <w:right w:w="108" w:type="dxa"/>
          </w:tblCellMar>
        </w:tblPrEx>
        <w:trPr>
          <w:trHeight w:val="981"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tabs>
                <w:tab w:val="left" w:pos="720"/>
                <w:tab w:val="left" w:pos="3600"/>
              </w:tabs>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海甸校区校园环境及绿化养护专项</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800,000.00</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rPr>
              <w:t>800,000.00</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0</w:t>
            </w:r>
          </w:p>
        </w:tc>
      </w:tr>
      <w:tr>
        <w:tblPrEx>
          <w:tblLayout w:type="fixed"/>
          <w:tblCellMar>
            <w:top w:w="0" w:type="dxa"/>
            <w:left w:w="108" w:type="dxa"/>
            <w:bottom w:w="0" w:type="dxa"/>
            <w:right w:w="108" w:type="dxa"/>
          </w:tblCellMar>
        </w:tblPrEx>
        <w:trPr>
          <w:trHeight w:val="1151"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spacing w:line="300" w:lineRule="exact"/>
              <w:jc w:val="center"/>
              <w:outlineLvl w:val="0"/>
              <w:rPr>
                <w:rFonts w:ascii="华文仿宋" w:hAnsi="华文仿宋" w:eastAsia="华文仿宋"/>
                <w:kern w:val="0"/>
                <w:sz w:val="24"/>
                <w:lang w:val="zh-CN"/>
              </w:rPr>
            </w:pPr>
            <w:r>
              <w:rPr>
                <w:rFonts w:ascii="华文仿宋" w:hAnsi="华文仿宋" w:eastAsia="华文仿宋"/>
                <w:sz w:val="24"/>
              </w:rPr>
              <w:t>海甸校区、儋州校区学校垃圾清运处理等卫生专项</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rPr>
              <w:t>2,200,000.00</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rPr>
              <w:t>2,200,000.00</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0</w:t>
            </w:r>
          </w:p>
        </w:tc>
      </w:tr>
      <w:tr>
        <w:tblPrEx>
          <w:tblLayout w:type="fixed"/>
          <w:tblCellMar>
            <w:top w:w="0" w:type="dxa"/>
            <w:left w:w="108" w:type="dxa"/>
            <w:bottom w:w="0" w:type="dxa"/>
            <w:right w:w="108" w:type="dxa"/>
          </w:tblCellMar>
        </w:tblPrEx>
        <w:trPr>
          <w:trHeight w:val="975"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校园文化建设</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1,000,000.00</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lang w:val="zh-CN"/>
              </w:rPr>
            </w:pPr>
            <w:r>
              <w:rPr>
                <w:rFonts w:ascii="华文仿宋" w:hAnsi="华文仿宋" w:eastAsia="华文仿宋"/>
                <w:kern w:val="0"/>
                <w:sz w:val="24"/>
              </w:rPr>
              <w:t>1,000,000.00</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0</w:t>
            </w:r>
          </w:p>
        </w:tc>
      </w:tr>
      <w:tr>
        <w:tblPrEx>
          <w:tblLayout w:type="fixed"/>
          <w:tblCellMar>
            <w:top w:w="0" w:type="dxa"/>
            <w:left w:w="108" w:type="dxa"/>
            <w:bottom w:w="0" w:type="dxa"/>
            <w:right w:w="108" w:type="dxa"/>
          </w:tblCellMar>
        </w:tblPrEx>
        <w:trPr>
          <w:trHeight w:val="840" w:hRule="atLeast"/>
          <w:jc w:val="center"/>
        </w:trPr>
        <w:tc>
          <w:tcPr>
            <w:tcW w:w="3002"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sz w:val="24"/>
              </w:rPr>
            </w:pPr>
            <w:r>
              <w:rPr>
                <w:rFonts w:ascii="华文仿宋" w:hAnsi="华文仿宋" w:eastAsia="华文仿宋"/>
                <w:sz w:val="24"/>
              </w:rPr>
              <w:t>基层党建科学化建设</w:t>
            </w:r>
          </w:p>
        </w:tc>
        <w:tc>
          <w:tcPr>
            <w:tcW w:w="154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1,000,000.00</w:t>
            </w:r>
          </w:p>
        </w:tc>
        <w:tc>
          <w:tcPr>
            <w:tcW w:w="169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1,000,000.00</w:t>
            </w:r>
          </w:p>
        </w:tc>
        <w:tc>
          <w:tcPr>
            <w:tcW w:w="15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288" w:lineRule="auto"/>
              <w:jc w:val="center"/>
              <w:rPr>
                <w:rFonts w:ascii="华文仿宋" w:hAnsi="华文仿宋" w:eastAsia="华文仿宋"/>
                <w:kern w:val="0"/>
                <w:sz w:val="24"/>
              </w:rPr>
            </w:pPr>
            <w:r>
              <w:rPr>
                <w:rFonts w:ascii="华文仿宋" w:hAnsi="华文仿宋" w:eastAsia="华文仿宋"/>
                <w:kern w:val="0"/>
                <w:sz w:val="24"/>
              </w:rPr>
              <w:t>0</w:t>
            </w:r>
          </w:p>
        </w:tc>
      </w:tr>
    </w:tbl>
    <w:p>
      <w:pPr>
        <w:autoSpaceDE w:val="0"/>
        <w:autoSpaceDN w:val="0"/>
        <w:adjustRightInd w:val="0"/>
        <w:spacing w:line="360" w:lineRule="auto"/>
        <w:ind w:firstLine="602"/>
        <w:rPr>
          <w:rFonts w:cs="仿宋" w:asciiTheme="minorEastAsia" w:hAnsiTheme="minorEastAsia" w:eastAsiaTheme="minorEastAsia"/>
          <w:b/>
          <w:bCs/>
          <w:kern w:val="0"/>
          <w:sz w:val="30"/>
          <w:szCs w:val="30"/>
          <w:lang w:val="zh-CN"/>
        </w:rPr>
      </w:pPr>
      <w:r>
        <w:rPr>
          <w:rFonts w:hint="eastAsia" w:cs="华文楷体" w:asciiTheme="minorEastAsia" w:hAnsiTheme="minorEastAsia" w:eastAsiaTheme="minorEastAsia"/>
          <w:b/>
          <w:bCs/>
          <w:kern w:val="0"/>
          <w:sz w:val="30"/>
          <w:szCs w:val="30"/>
          <w:lang w:val="zh-CN"/>
        </w:rPr>
        <w:t>（三）项目资金管理情况分析（包括管理制度、办法的制订及执行情况等）</w:t>
      </w:r>
    </w:p>
    <w:p>
      <w:pPr>
        <w:ind w:firstLine="560" w:firstLineChars="200"/>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项目资金严格按照海南省财政厅相关管理规定进行管理。在项目经费使用过程中，严格按照《海南大学经费支出审批暂行办法》和《海南大学支出管理若干规定》的要求，</w:t>
      </w:r>
      <w:r>
        <w:rPr>
          <w:rFonts w:hint="eastAsia" w:asciiTheme="minorEastAsia" w:hAnsiTheme="minorEastAsia" w:eastAsiaTheme="minorEastAsia" w:cstheme="minorEastAsia"/>
          <w:bCs/>
          <w:sz w:val="28"/>
          <w:szCs w:val="28"/>
        </w:rPr>
        <w:t>由海南大学计划财务处负责监督，按照学校预算科下达的经费指标实行项目核算、单独建帐，随时掌握和监督项目资金的支出和用途，确保经费专款专用，杜绝</w:t>
      </w:r>
      <w:r>
        <w:rPr>
          <w:rFonts w:hint="eastAsia" w:asciiTheme="minorEastAsia" w:hAnsiTheme="minorEastAsia" w:eastAsiaTheme="minorEastAsia" w:cstheme="minorEastAsia"/>
          <w:sz w:val="28"/>
          <w:szCs w:val="28"/>
        </w:rPr>
        <w:t>截留、挪用、套取、转移的情况。项目按原计划实施，实际执行情况与原计划基本一致。</w:t>
      </w:r>
    </w:p>
    <w:p>
      <w:pPr>
        <w:numPr>
          <w:ilvl w:val="0"/>
          <w:numId w:val="2"/>
        </w:numPr>
        <w:ind w:firstLine="643" w:firstLineChars="2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项目组织实施情况</w:t>
      </w:r>
    </w:p>
    <w:p>
      <w:pPr>
        <w:numPr>
          <w:ilvl w:val="0"/>
          <w:numId w:val="3"/>
        </w:numPr>
        <w:autoSpaceDE w:val="0"/>
        <w:autoSpaceDN w:val="0"/>
        <w:adjustRightInd w:val="0"/>
        <w:spacing w:line="360" w:lineRule="auto"/>
        <w:ind w:firstLine="602"/>
        <w:rPr>
          <w:rFonts w:cs="华文楷体" w:asciiTheme="minorEastAsia" w:hAnsiTheme="minorEastAsia" w:eastAsiaTheme="minorEastAsia"/>
          <w:b/>
          <w:bCs/>
          <w:kern w:val="0"/>
          <w:sz w:val="30"/>
          <w:szCs w:val="30"/>
          <w:lang w:val="zh-CN"/>
        </w:rPr>
      </w:pPr>
      <w:r>
        <w:rPr>
          <w:rFonts w:hint="eastAsia" w:cs="华文楷体" w:asciiTheme="minorEastAsia" w:hAnsiTheme="minorEastAsia" w:eastAsiaTheme="minorEastAsia"/>
          <w:b/>
          <w:bCs/>
          <w:kern w:val="0"/>
          <w:sz w:val="30"/>
          <w:szCs w:val="30"/>
          <w:lang w:val="zh-CN"/>
        </w:rPr>
        <w:t>项目组织情况分析（包括项目招投标情况、调整情况、完成验收等）</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lang w:val="zh-CN"/>
        </w:rPr>
      </w:pPr>
      <w:r>
        <w:rPr>
          <w:rFonts w:hint="eastAsia" w:asciiTheme="minorEastAsia" w:hAnsiTheme="minorEastAsia" w:eastAsiaTheme="minorEastAsia" w:cstheme="minorEastAsia"/>
          <w:kern w:val="0"/>
          <w:sz w:val="28"/>
          <w:szCs w:val="28"/>
          <w:lang w:val="zh-CN"/>
        </w:rPr>
        <w:t>海南大学海甸校区三西路片区保安服务项目委托海南省教学仪器设备招标中心进行单一来源采购方式；海甸校区校园环境及绿化养护专项、卫生专项项目采取公开招标，招标、评标工作均按照海南大学相关规定及程序进行。招标完成后，按照海南大学相关管理规定及程序进行合同审批及签订，并安排专人进行监督和管理，各项目完成后，及时安排相关部门进行项目验收。</w:t>
      </w:r>
    </w:p>
    <w:p>
      <w:pPr>
        <w:numPr>
          <w:ilvl w:val="0"/>
          <w:numId w:val="3"/>
        </w:numPr>
        <w:ind w:firstLine="602"/>
        <w:rPr>
          <w:rFonts w:cs="华文楷体" w:asciiTheme="minorEastAsia" w:hAnsiTheme="minorEastAsia" w:eastAsiaTheme="minorEastAsia"/>
          <w:b/>
          <w:bCs/>
          <w:sz w:val="30"/>
          <w:szCs w:val="30"/>
        </w:rPr>
      </w:pPr>
      <w:r>
        <w:rPr>
          <w:rFonts w:hint="eastAsia" w:cs="华文楷体" w:asciiTheme="minorEastAsia" w:hAnsiTheme="minorEastAsia" w:eastAsiaTheme="minorEastAsia"/>
          <w:b/>
          <w:bCs/>
          <w:sz w:val="30"/>
          <w:szCs w:val="30"/>
        </w:rPr>
        <w:t>项目管理情况分析（包括项目管理制度建设、日常检查监督管理等情况）</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项目合同规定的管理服务需要，海甸校区中门岗、南门岗配备保安人员共10名，城西校区校园物业服务配备卫生工13名，绿化机械工2名，按质按量完成责任区域内的秩序维护和保洁服务。出台《垃圾清运项目车辆派车流程》、《海甸校区垃圾清运管理办法》规定和《绿化垃圾清运签认表》表格。严格按照海南大学相关管理规定进行监督和管理，建立专人负责制，通过后勤服务热线和质量办公室及时了解垃圾清运存在的问题，并结合实际及时整改，按照实际需要配置人员，有效节省人员经费；各项目同时也要按照海南大学项目资金申报与使用管理相关规定，对项目实施实行管理责任制，每个子项目均落实到具体负责人，开展校园文化精品活动、举办精品讲座主要由理论教育科负责，官微推送和媒体宣传主要由新闻宣传科和校报编辑部负责。项目负责人根据项目计划和实施方案，组织实施。部门领导班子按照预算、财务管理制度，对项目资金的使用、付款等环节进行管理和监督。具体项目管理情况见表3。</w:t>
      </w:r>
    </w:p>
    <w:p>
      <w:pPr>
        <w:autoSpaceDE w:val="0"/>
        <w:autoSpaceDN w:val="0"/>
        <w:adjustRightInd w:val="0"/>
        <w:spacing w:line="360" w:lineRule="auto"/>
        <w:ind w:firstLine="602"/>
        <w:jc w:val="center"/>
        <w:rPr>
          <w:rFonts w:cs="仿宋" w:asciiTheme="minorEastAsia" w:hAnsiTheme="minorEastAsia" w:eastAsiaTheme="minorEastAsia"/>
          <w:b/>
          <w:bCs/>
          <w:kern w:val="0"/>
          <w:sz w:val="28"/>
          <w:szCs w:val="28"/>
          <w:lang w:val="zh-CN"/>
        </w:rPr>
      </w:pPr>
      <w:r>
        <w:rPr>
          <w:rFonts w:hint="eastAsia" w:cs="仿宋" w:asciiTheme="minorEastAsia" w:hAnsiTheme="minorEastAsia" w:eastAsiaTheme="minorEastAsia"/>
          <w:b/>
          <w:bCs/>
          <w:kern w:val="0"/>
          <w:sz w:val="28"/>
          <w:szCs w:val="28"/>
          <w:lang w:val="zh-CN"/>
        </w:rPr>
        <w:t>表</w:t>
      </w:r>
      <w:r>
        <w:rPr>
          <w:rFonts w:cs="仿宋" w:asciiTheme="minorEastAsia" w:hAnsiTheme="minorEastAsia" w:eastAsiaTheme="minorEastAsia"/>
          <w:b/>
          <w:bCs/>
          <w:kern w:val="0"/>
          <w:sz w:val="28"/>
          <w:szCs w:val="28"/>
          <w:lang w:val="zh-CN"/>
        </w:rPr>
        <w:t xml:space="preserve">3 </w:t>
      </w:r>
      <w:r>
        <w:rPr>
          <w:rFonts w:hint="eastAsia" w:cs="仿宋" w:asciiTheme="minorEastAsia" w:hAnsiTheme="minorEastAsia" w:eastAsiaTheme="minorEastAsia"/>
          <w:b/>
          <w:bCs/>
          <w:kern w:val="0"/>
          <w:sz w:val="28"/>
          <w:szCs w:val="28"/>
          <w:lang w:val="zh-CN"/>
        </w:rPr>
        <w:t>校园文化与后勤产业管理项目管理情况表</w:t>
      </w:r>
    </w:p>
    <w:tbl>
      <w:tblPr>
        <w:tblStyle w:val="7"/>
        <w:tblW w:w="8755" w:type="dxa"/>
        <w:tblInd w:w="108" w:type="dxa"/>
        <w:shd w:val="clear" w:color="auto" w:fill="FFFFFF" w:themeFill="background1"/>
        <w:tblLayout w:type="fixed"/>
        <w:tblCellMar>
          <w:top w:w="0" w:type="dxa"/>
          <w:left w:w="108" w:type="dxa"/>
          <w:bottom w:w="0" w:type="dxa"/>
          <w:right w:w="108" w:type="dxa"/>
        </w:tblCellMar>
      </w:tblPr>
      <w:tblGrid>
        <w:gridCol w:w="817"/>
        <w:gridCol w:w="1985"/>
        <w:gridCol w:w="3685"/>
        <w:gridCol w:w="1203"/>
        <w:gridCol w:w="1065"/>
      </w:tblGrid>
      <w:tr>
        <w:tblPrEx>
          <w:shd w:val="clear" w:color="auto" w:fill="FFFFFF" w:themeFill="background1"/>
          <w:tblLayout w:type="fixed"/>
          <w:tblCellMar>
            <w:top w:w="0" w:type="dxa"/>
            <w:left w:w="108" w:type="dxa"/>
            <w:bottom w:w="0" w:type="dxa"/>
            <w:right w:w="108" w:type="dxa"/>
          </w:tblCellMar>
        </w:tblPrEx>
        <w:trPr>
          <w:trHeight w:val="1"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序号</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项目名称</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管理制度</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项目</w:t>
            </w:r>
          </w:p>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负责人</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管理人员</w:t>
            </w:r>
          </w:p>
        </w:tc>
      </w:tr>
      <w:tr>
        <w:tblPrEx>
          <w:tblLayout w:type="fixed"/>
          <w:tblCellMar>
            <w:top w:w="0" w:type="dxa"/>
            <w:left w:w="108" w:type="dxa"/>
            <w:bottom w:w="0" w:type="dxa"/>
            <w:right w:w="108" w:type="dxa"/>
          </w:tblCellMar>
        </w:tblPrEx>
        <w:trPr>
          <w:trHeight w:val="1408"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ascii="华文仿宋" w:hAnsi="华文仿宋" w:eastAsia="华文仿宋" w:cs="仿宋"/>
                <w:kern w:val="0"/>
                <w:sz w:val="24"/>
                <w:lang w:val="zh-CN"/>
              </w:rPr>
              <w:t>1</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海甸三西路片保安及城西校区物业外包</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《海南大学基本建设财务管理办法》《海南大学经费支出审批暂行办法》《海南大学支出管理若干规定》</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朱荣平</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龚国亮</w:t>
            </w:r>
          </w:p>
        </w:tc>
      </w:tr>
      <w:tr>
        <w:tblPrEx>
          <w:tblLayout w:type="fixed"/>
          <w:tblCellMar>
            <w:top w:w="0" w:type="dxa"/>
            <w:left w:w="108" w:type="dxa"/>
            <w:bottom w:w="0" w:type="dxa"/>
            <w:right w:w="108" w:type="dxa"/>
          </w:tblCellMar>
        </w:tblPrEx>
        <w:trPr>
          <w:trHeight w:val="1354"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ascii="华文仿宋" w:hAnsi="华文仿宋" w:eastAsia="华文仿宋" w:cs="仿宋"/>
                <w:kern w:val="0"/>
                <w:sz w:val="24"/>
                <w:lang w:val="zh-CN"/>
              </w:rPr>
              <w:t>2</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tabs>
                <w:tab w:val="left" w:pos="720"/>
                <w:tab w:val="left" w:pos="3600"/>
              </w:tabs>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海甸校区校园环境及绿化养护专项</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《海南大学基本建设财务管理办法》《海南大学经费支出审批暂行办法》《海南大学支出管理若干规定》</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朱荣平</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宋体"/>
                <w:kern w:val="0"/>
                <w:sz w:val="24"/>
                <w:lang w:val="zh-CN"/>
              </w:rPr>
              <w:t>邓培</w:t>
            </w:r>
          </w:p>
        </w:tc>
      </w:tr>
      <w:tr>
        <w:tblPrEx>
          <w:tblLayout w:type="fixed"/>
          <w:tblCellMar>
            <w:top w:w="0" w:type="dxa"/>
            <w:left w:w="108" w:type="dxa"/>
            <w:bottom w:w="0" w:type="dxa"/>
            <w:right w:w="108" w:type="dxa"/>
          </w:tblCellMar>
        </w:tblPrEx>
        <w:trPr>
          <w:trHeight w:val="1428"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3</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tabs>
                <w:tab w:val="left" w:pos="720"/>
                <w:tab w:val="left" w:pos="3600"/>
              </w:tabs>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海甸校区、儋州校区学校垃圾清运处理等卫生专项</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《海南大学基本建设财务管理办法》《海南大学经费支出审批暂行办法》《海南大学支出管理若干规定》</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宋体"/>
                <w:kern w:val="0"/>
                <w:sz w:val="24"/>
                <w:lang w:val="zh-CN"/>
              </w:rPr>
              <w:t>朱荣平</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sz w:val="24"/>
              </w:rPr>
            </w:pPr>
            <w:r>
              <w:rPr>
                <w:rFonts w:hint="eastAsia" w:ascii="华文仿宋" w:hAnsi="华文仿宋" w:eastAsia="华文仿宋" w:cs="宋体"/>
                <w:kern w:val="0"/>
                <w:sz w:val="24"/>
                <w:lang w:val="zh-CN"/>
              </w:rPr>
              <w:t>邓培</w:t>
            </w:r>
          </w:p>
        </w:tc>
      </w:tr>
      <w:tr>
        <w:tblPrEx>
          <w:tblLayout w:type="fixed"/>
          <w:tblCellMar>
            <w:top w:w="0" w:type="dxa"/>
            <w:left w:w="108" w:type="dxa"/>
            <w:bottom w:w="0" w:type="dxa"/>
            <w:right w:w="108" w:type="dxa"/>
          </w:tblCellMar>
        </w:tblPrEx>
        <w:trPr>
          <w:trHeight w:val="1"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4</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tabs>
                <w:tab w:val="left" w:pos="720"/>
                <w:tab w:val="left" w:pos="3600"/>
              </w:tabs>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校园文化建设</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宋体"/>
                <w:kern w:val="0"/>
                <w:sz w:val="24"/>
                <w:lang w:val="zh-CN"/>
              </w:rPr>
            </w:pPr>
            <w:r>
              <w:rPr>
                <w:rFonts w:hint="eastAsia" w:ascii="华文仿宋" w:hAnsi="华文仿宋" w:eastAsia="华文仿宋" w:cs="仿宋"/>
                <w:kern w:val="0"/>
                <w:sz w:val="24"/>
                <w:lang w:val="zh-CN"/>
              </w:rPr>
              <w:t>《海南大学基本建设财务管理办法》《海南大学经费支出审批暂行办法》《海南大学支出管理若干规定》</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谭勇</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spacing w:line="320" w:lineRule="exact"/>
              <w:jc w:val="center"/>
              <w:rPr>
                <w:rFonts w:ascii="华文仿宋" w:hAnsi="华文仿宋" w:eastAsia="华文仿宋"/>
                <w:sz w:val="24"/>
              </w:rPr>
            </w:pPr>
            <w:r>
              <w:rPr>
                <w:rFonts w:hint="eastAsia" w:ascii="华文仿宋" w:hAnsi="华文仿宋" w:eastAsia="华文仿宋"/>
                <w:sz w:val="24"/>
              </w:rPr>
              <w:t>王群生</w:t>
            </w:r>
          </w:p>
          <w:p>
            <w:pPr>
              <w:spacing w:line="320" w:lineRule="exact"/>
              <w:jc w:val="center"/>
              <w:rPr>
                <w:rFonts w:ascii="华文仿宋" w:hAnsi="华文仿宋" w:eastAsia="华文仿宋"/>
                <w:sz w:val="24"/>
              </w:rPr>
            </w:pPr>
            <w:r>
              <w:rPr>
                <w:rFonts w:hint="eastAsia" w:ascii="华文仿宋" w:hAnsi="华文仿宋" w:eastAsia="华文仿宋"/>
                <w:sz w:val="24"/>
              </w:rPr>
              <w:t>李布明</w:t>
            </w:r>
          </w:p>
          <w:p>
            <w:pPr>
              <w:spacing w:line="320" w:lineRule="exact"/>
              <w:jc w:val="center"/>
              <w:rPr>
                <w:rFonts w:ascii="华文仿宋" w:hAnsi="华文仿宋" w:eastAsia="华文仿宋"/>
                <w:sz w:val="24"/>
              </w:rPr>
            </w:pPr>
            <w:r>
              <w:rPr>
                <w:rFonts w:hint="eastAsia" w:ascii="华文仿宋" w:hAnsi="华文仿宋" w:eastAsia="华文仿宋"/>
                <w:sz w:val="24"/>
              </w:rPr>
              <w:t>卢昕</w:t>
            </w:r>
          </w:p>
        </w:tc>
      </w:tr>
      <w:tr>
        <w:tblPrEx>
          <w:tblLayout w:type="fixed"/>
        </w:tblPrEx>
        <w:trPr>
          <w:trHeight w:val="1436" w:hRule="atLeast"/>
        </w:trPr>
        <w:tc>
          <w:tcPr>
            <w:tcW w:w="817"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5</w:t>
            </w:r>
          </w:p>
        </w:tc>
        <w:tc>
          <w:tcPr>
            <w:tcW w:w="19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基层党建科学化建设</w:t>
            </w:r>
          </w:p>
        </w:tc>
        <w:tc>
          <w:tcPr>
            <w:tcW w:w="368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lang w:val="zh-CN"/>
              </w:rPr>
            </w:pPr>
            <w:r>
              <w:rPr>
                <w:rFonts w:hint="eastAsia" w:ascii="华文仿宋" w:hAnsi="华文仿宋" w:eastAsia="华文仿宋" w:cs="仿宋"/>
                <w:kern w:val="0"/>
                <w:sz w:val="24"/>
                <w:lang w:val="zh-CN"/>
              </w:rPr>
              <w:t>《海南大学基本建设财务管理办法》《海南大学经费支出审批暂行办法》《海南大学支出管理若干规定》</w:t>
            </w:r>
          </w:p>
        </w:tc>
        <w:tc>
          <w:tcPr>
            <w:tcW w:w="1203"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autoSpaceDE w:val="0"/>
              <w:autoSpaceDN w:val="0"/>
              <w:adjustRightInd w:val="0"/>
              <w:spacing w:line="320" w:lineRule="exact"/>
              <w:jc w:val="center"/>
              <w:rPr>
                <w:rFonts w:ascii="华文仿宋" w:hAnsi="华文仿宋" w:eastAsia="华文仿宋" w:cs="仿宋"/>
                <w:kern w:val="0"/>
                <w:sz w:val="24"/>
                <w:highlight w:val="yellow"/>
                <w:lang w:val="zh-CN"/>
              </w:rPr>
            </w:pPr>
            <w:r>
              <w:rPr>
                <w:rFonts w:hint="eastAsia" w:ascii="华文仿宋" w:hAnsi="华文仿宋" w:eastAsia="华文仿宋" w:cs="仿宋"/>
                <w:kern w:val="0"/>
                <w:sz w:val="24"/>
                <w:lang w:val="zh-CN"/>
              </w:rPr>
              <w:t>李峰</w:t>
            </w:r>
          </w:p>
        </w:tc>
        <w:tc>
          <w:tcPr>
            <w:tcW w:w="1065" w:type="dxa"/>
            <w:tcBorders>
              <w:top w:val="single" w:color="000000" w:sz="2" w:space="0"/>
              <w:left w:val="single" w:color="000000" w:sz="2" w:space="0"/>
              <w:bottom w:val="single" w:color="000000" w:sz="2" w:space="0"/>
              <w:right w:val="single" w:color="000000" w:sz="2" w:space="0"/>
            </w:tcBorders>
            <w:shd w:val="clear" w:color="auto" w:fill="FFFFFF" w:themeFill="background1"/>
            <w:vAlign w:val="center"/>
          </w:tcPr>
          <w:p>
            <w:pPr>
              <w:spacing w:line="320" w:lineRule="exact"/>
              <w:jc w:val="center"/>
              <w:rPr>
                <w:rFonts w:ascii="华文仿宋" w:hAnsi="华文仿宋" w:eastAsia="华文仿宋"/>
                <w:sz w:val="24"/>
              </w:rPr>
            </w:pPr>
            <w:r>
              <w:rPr>
                <w:rFonts w:hint="eastAsia" w:ascii="华文仿宋" w:hAnsi="华文仿宋" w:eastAsia="华文仿宋"/>
                <w:sz w:val="24"/>
              </w:rPr>
              <w:t>钟伟宁</w:t>
            </w:r>
          </w:p>
          <w:p>
            <w:pPr>
              <w:spacing w:line="320" w:lineRule="exact"/>
              <w:jc w:val="center"/>
              <w:rPr>
                <w:rFonts w:ascii="华文仿宋" w:hAnsi="华文仿宋" w:eastAsia="华文仿宋"/>
                <w:sz w:val="24"/>
              </w:rPr>
            </w:pPr>
            <w:r>
              <w:rPr>
                <w:rFonts w:hint="eastAsia" w:ascii="华文仿宋" w:hAnsi="华文仿宋" w:eastAsia="华文仿宋"/>
                <w:sz w:val="24"/>
              </w:rPr>
              <w:t>王偲颖</w:t>
            </w:r>
          </w:p>
        </w:tc>
      </w:tr>
    </w:tbl>
    <w:p>
      <w:pPr>
        <w:autoSpaceDE w:val="0"/>
        <w:autoSpaceDN w:val="0"/>
        <w:adjustRightInd w:val="0"/>
        <w:spacing w:line="360" w:lineRule="auto"/>
        <w:ind w:firstLine="641"/>
        <w:rPr>
          <w:rFonts w:cs="仿宋" w:asciiTheme="minorEastAsia" w:hAnsiTheme="minorEastAsia" w:eastAsiaTheme="minorEastAsia"/>
          <w:b/>
          <w:bCs/>
          <w:kern w:val="0"/>
          <w:sz w:val="32"/>
          <w:szCs w:val="32"/>
          <w:lang w:val="zh-CN"/>
        </w:rPr>
      </w:pPr>
    </w:p>
    <w:p>
      <w:pPr>
        <w:autoSpaceDE w:val="0"/>
        <w:autoSpaceDN w:val="0"/>
        <w:adjustRightInd w:val="0"/>
        <w:spacing w:line="360" w:lineRule="auto"/>
        <w:ind w:firstLine="641"/>
        <w:rPr>
          <w:rFonts w:cs="仿宋" w:asciiTheme="minorEastAsia" w:hAnsiTheme="minorEastAsia" w:eastAsiaTheme="minorEastAsia"/>
          <w:b/>
          <w:bCs/>
          <w:kern w:val="0"/>
          <w:sz w:val="32"/>
          <w:szCs w:val="32"/>
          <w:lang w:val="zh-CN"/>
        </w:rPr>
      </w:pPr>
      <w:r>
        <w:rPr>
          <w:rFonts w:hint="eastAsia" w:cs="仿宋" w:asciiTheme="minorEastAsia" w:hAnsiTheme="minorEastAsia" w:eastAsiaTheme="minorEastAsia"/>
          <w:b/>
          <w:bCs/>
          <w:kern w:val="0"/>
          <w:sz w:val="32"/>
          <w:szCs w:val="32"/>
          <w:lang w:val="zh-CN"/>
        </w:rPr>
        <w:t>四、项目绩效情况</w:t>
      </w:r>
    </w:p>
    <w:p>
      <w:pPr>
        <w:autoSpaceDE w:val="0"/>
        <w:autoSpaceDN w:val="0"/>
        <w:adjustRightInd w:val="0"/>
        <w:spacing w:line="360" w:lineRule="auto"/>
        <w:ind w:firstLine="641"/>
        <w:rPr>
          <w:rFonts w:cs="华文楷体" w:asciiTheme="minorEastAsia" w:hAnsiTheme="minorEastAsia" w:eastAsiaTheme="minorEastAsia"/>
          <w:b/>
          <w:bCs/>
          <w:kern w:val="0"/>
          <w:sz w:val="30"/>
          <w:szCs w:val="30"/>
          <w:lang w:val="zh-CN"/>
        </w:rPr>
      </w:pPr>
      <w:r>
        <w:rPr>
          <w:rFonts w:hint="eastAsia" w:cs="华文楷体" w:asciiTheme="minorEastAsia" w:hAnsiTheme="minorEastAsia" w:eastAsiaTheme="minorEastAsia"/>
          <w:b/>
          <w:bCs/>
          <w:kern w:val="0"/>
          <w:sz w:val="30"/>
          <w:szCs w:val="30"/>
          <w:lang w:val="zh-CN"/>
        </w:rPr>
        <w:t>（一）项目绩效目标完成情况分析</w:t>
      </w:r>
    </w:p>
    <w:p>
      <w:pPr>
        <w:autoSpaceDE w:val="0"/>
        <w:autoSpaceDN w:val="0"/>
        <w:adjustRightInd w:val="0"/>
        <w:spacing w:line="360" w:lineRule="auto"/>
        <w:ind w:firstLine="560" w:firstLineChars="200"/>
        <w:rPr>
          <w:rFonts w:cs="仿宋" w:asciiTheme="minorEastAsia" w:hAnsiTheme="minorEastAsia" w:eastAsiaTheme="minorEastAsia"/>
          <w:kern w:val="0"/>
          <w:sz w:val="28"/>
          <w:szCs w:val="28"/>
          <w:lang w:val="zh-CN"/>
        </w:rPr>
      </w:pPr>
      <w:r>
        <w:rPr>
          <w:rFonts w:cs="仿宋" w:asciiTheme="minorEastAsia" w:hAnsiTheme="minorEastAsia" w:eastAsiaTheme="minorEastAsia"/>
          <w:kern w:val="0"/>
          <w:sz w:val="28"/>
          <w:szCs w:val="28"/>
          <w:lang w:val="zh-CN"/>
        </w:rPr>
        <w:t xml:space="preserve">1. </w:t>
      </w:r>
      <w:r>
        <w:rPr>
          <w:rFonts w:hint="eastAsia" w:cs="仿宋" w:asciiTheme="minorEastAsia" w:hAnsiTheme="minorEastAsia" w:eastAsiaTheme="minorEastAsia"/>
          <w:kern w:val="0"/>
          <w:sz w:val="28"/>
          <w:szCs w:val="28"/>
          <w:lang w:val="zh-CN"/>
        </w:rPr>
        <w:t>项目的经济性分析</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w:t>
      </w:r>
      <w:r>
        <w:rPr>
          <w:rFonts w:cs="仿宋" w:asciiTheme="minorEastAsia" w:hAnsiTheme="minorEastAsia" w:eastAsiaTheme="minorEastAsia"/>
          <w:kern w:val="0"/>
          <w:sz w:val="28"/>
          <w:szCs w:val="28"/>
          <w:lang w:val="zh-CN"/>
        </w:rPr>
        <w:t>1</w:t>
      </w:r>
      <w:r>
        <w:rPr>
          <w:rFonts w:hint="eastAsia" w:cs="仿宋" w:asciiTheme="minorEastAsia" w:hAnsiTheme="minorEastAsia" w:eastAsiaTheme="minorEastAsia"/>
          <w:kern w:val="0"/>
          <w:sz w:val="28"/>
          <w:szCs w:val="28"/>
          <w:lang w:val="zh-CN"/>
        </w:rPr>
        <w:t>）项目成本（预算）控制情况：海甸校区保安服务项目成本预算控制在中标金额：1，056,237.00元／年以内，不得突破；城西物业服务项目成本预算控制在中标金额：759666.7元／年以内，不得突破；海甸校区校园环境及绿化养护专项项目在设计阶段均要求进行限额设计，严格按照实际需要，现场查看及讨论决定苗木补种。严格按照项目预算执行，项目成本实行总量控制；卫生专项项目在设计阶段均要求进行限额设计，制定全年垃圾清运计划，项目成本实行总量控制；本项目投入资金660万元，实际经费支出660万元，资金使用率100%。经费开支严格按《海南大学财务管理办法》等规章制度执行，基本按照项目申报目标和预算执行。</w:t>
      </w:r>
    </w:p>
    <w:p>
      <w:pPr>
        <w:numPr>
          <w:ilvl w:val="0"/>
          <w:numId w:val="4"/>
        </w:numPr>
        <w:tabs>
          <w:tab w:val="right" w:pos="8204"/>
        </w:tabs>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项目成本（预算）节约情况：项目执行顺利，效果良好，项目管理与实施单位积极配合，围绕项目的总体目标，未组织任何与项目无关的活动，本项目严格控制成本，厉行节约，力求充分利用项目经费，做到货比三家，对维修情况进行严格审核，确保无重复维修情况，所有资金全部用于项目支出，严格按照相关规定执行，以节约成本，保证质量为宗旨。</w:t>
      </w:r>
    </w:p>
    <w:p>
      <w:pPr>
        <w:tabs>
          <w:tab w:val="left" w:pos="640"/>
        </w:tabs>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cs="仿宋" w:asciiTheme="minorEastAsia" w:hAnsiTheme="minorEastAsia" w:eastAsiaTheme="minorEastAsia"/>
          <w:kern w:val="0"/>
          <w:sz w:val="28"/>
          <w:szCs w:val="28"/>
          <w:lang w:val="zh-CN"/>
        </w:rPr>
        <w:t xml:space="preserve">2. </w:t>
      </w:r>
      <w:r>
        <w:rPr>
          <w:rFonts w:hint="eastAsia" w:cs="仿宋" w:asciiTheme="minorEastAsia" w:hAnsiTheme="minorEastAsia" w:eastAsiaTheme="minorEastAsia"/>
          <w:kern w:val="0"/>
          <w:sz w:val="28"/>
          <w:szCs w:val="28"/>
          <w:lang w:val="zh-CN"/>
        </w:rPr>
        <w:t>项目的效率性分析</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w:t>
      </w:r>
      <w:r>
        <w:rPr>
          <w:rFonts w:cs="仿宋" w:asciiTheme="minorEastAsia" w:hAnsiTheme="minorEastAsia" w:eastAsiaTheme="minorEastAsia"/>
          <w:kern w:val="0"/>
          <w:sz w:val="28"/>
          <w:szCs w:val="28"/>
          <w:lang w:val="zh-CN"/>
        </w:rPr>
        <w:t>1</w:t>
      </w:r>
      <w:r>
        <w:rPr>
          <w:rFonts w:hint="eastAsia" w:cs="仿宋" w:asciiTheme="minorEastAsia" w:hAnsiTheme="minorEastAsia" w:eastAsiaTheme="minorEastAsia"/>
          <w:kern w:val="0"/>
          <w:sz w:val="28"/>
          <w:szCs w:val="28"/>
          <w:lang w:val="zh-CN"/>
        </w:rPr>
        <w:t>）项目的实施进度</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物业服务外包项目预期目标已到达甲方所规定的服务要求。</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海甸校区校园环境及绿化养护专项项目严格按照相关规定进行，及时进行黄土裸露补种工作，保持校园整洁、舒适。</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卫生专项项目严格按照合同开展，生活垃圾正常情况下每天两次清运，绿化垃圾根据绿化垃圾实际产生量安排清运车辆，及时清运出校，保持校园干净、整洁。</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项目预算资金到位后，立即开展项目工作，按照项目任务书及工作计划要求，按时保质保量完成各项工作任务。实效符合预期要求，完成年度工作任务。</w:t>
      </w:r>
    </w:p>
    <w:p>
      <w:pPr>
        <w:autoSpaceDE w:val="0"/>
        <w:autoSpaceDN w:val="0"/>
        <w:adjustRightInd w:val="0"/>
        <w:spacing w:line="360" w:lineRule="auto"/>
        <w:ind w:firstLine="560" w:firstLineChars="2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（2）项目完成质量</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从后勤服务热线和中心质量办公室了解，师生员工反映很好，满意度逐年提升。海甸校区校园环境及绿化养护专项项目已按预算内容实施完成，其工作实效符合预期要求，总体完成质量达到合格要求；很好地完成了“双创”要求的各项工作，及时清运，确保校园内无卫生死角、无堆积物；受众群体对活动效果认可，参与对象对项目运转比较满意，各类型活动内容丰富，覆盖面广，影响范围广，达到预期效果。</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cs="仿宋" w:asciiTheme="minorEastAsia" w:hAnsiTheme="minorEastAsia" w:eastAsiaTheme="minorEastAsia"/>
          <w:kern w:val="0"/>
          <w:sz w:val="28"/>
          <w:szCs w:val="28"/>
          <w:lang w:val="zh-CN"/>
        </w:rPr>
        <w:t xml:space="preserve">3. </w:t>
      </w:r>
      <w:r>
        <w:rPr>
          <w:rFonts w:hint="eastAsia" w:cs="仿宋" w:asciiTheme="minorEastAsia" w:hAnsiTheme="minorEastAsia" w:eastAsiaTheme="minorEastAsia"/>
          <w:kern w:val="0"/>
          <w:sz w:val="28"/>
          <w:szCs w:val="28"/>
          <w:lang w:val="zh-CN"/>
        </w:rPr>
        <w:t>项目的效益性分析</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w:t>
      </w:r>
      <w:r>
        <w:rPr>
          <w:rFonts w:cs="仿宋" w:asciiTheme="minorEastAsia" w:hAnsiTheme="minorEastAsia" w:eastAsiaTheme="minorEastAsia"/>
          <w:kern w:val="0"/>
          <w:sz w:val="28"/>
          <w:szCs w:val="28"/>
          <w:lang w:val="zh-CN"/>
        </w:rPr>
        <w:t>1</w:t>
      </w:r>
      <w:r>
        <w:rPr>
          <w:rFonts w:hint="eastAsia" w:cs="仿宋" w:asciiTheme="minorEastAsia" w:hAnsiTheme="minorEastAsia" w:eastAsiaTheme="minorEastAsia"/>
          <w:kern w:val="0"/>
          <w:sz w:val="28"/>
          <w:szCs w:val="28"/>
          <w:lang w:val="zh-CN"/>
        </w:rPr>
        <w:t>）项目预期目标完成程度</w:t>
      </w:r>
    </w:p>
    <w:p>
      <w:pPr>
        <w:autoSpaceDE w:val="0"/>
        <w:autoSpaceDN w:val="0"/>
        <w:adjustRightInd w:val="0"/>
        <w:spacing w:line="360" w:lineRule="auto"/>
        <w:ind w:firstLine="600"/>
        <w:rPr>
          <w:rFonts w:asciiTheme="minorEastAsia" w:hAnsiTheme="minorEastAsia" w:eastAsiaTheme="minorEastAsia" w:cstheme="minorEastAsia"/>
          <w:kern w:val="0"/>
          <w:sz w:val="28"/>
          <w:szCs w:val="28"/>
        </w:rPr>
      </w:pPr>
      <w:r>
        <w:rPr>
          <w:rFonts w:hint="eastAsia" w:cs="仿宋" w:asciiTheme="minorEastAsia" w:hAnsiTheme="minorEastAsia" w:eastAsiaTheme="minorEastAsia"/>
          <w:kern w:val="0"/>
          <w:sz w:val="28"/>
          <w:szCs w:val="28"/>
          <w:lang w:val="zh-CN"/>
        </w:rPr>
        <w:t>项目预期目标均全部按计划完成，完成后已投入使用。本项目预期目标完成情况具体如下：</w:t>
      </w:r>
      <w:r>
        <w:rPr>
          <w:rFonts w:hint="eastAsia" w:asciiTheme="minorEastAsia" w:hAnsiTheme="minorEastAsia" w:eastAsiaTheme="minorEastAsia" w:cstheme="minorEastAsia"/>
          <w:kern w:val="0"/>
          <w:sz w:val="28"/>
          <w:szCs w:val="28"/>
        </w:rPr>
        <w:fldChar w:fldCharType="begin"/>
      </w:r>
      <w:r>
        <w:rPr>
          <w:rFonts w:hint="eastAsia" w:asciiTheme="minorEastAsia" w:hAnsiTheme="minorEastAsia" w:eastAsiaTheme="minorEastAsia" w:cstheme="minorEastAsia"/>
          <w:kern w:val="0"/>
          <w:sz w:val="28"/>
          <w:szCs w:val="28"/>
        </w:rPr>
        <w:instrText xml:space="preserve"> = 1 \* GB3 \* MERGEFORMAT </w:instrText>
      </w:r>
      <w:r>
        <w:rPr>
          <w:rFonts w:hint="eastAsia" w:asciiTheme="minorEastAsia" w:hAnsiTheme="minorEastAsia" w:eastAsiaTheme="minorEastAsia" w:cstheme="minorEastAsia"/>
          <w:kern w:val="0"/>
          <w:sz w:val="28"/>
          <w:szCs w:val="28"/>
        </w:rPr>
        <w:fldChar w:fldCharType="separate"/>
      </w:r>
      <w:r>
        <w:rPr>
          <w:rFonts w:asciiTheme="minorEastAsia" w:hAnsiTheme="minorEastAsia" w:eastAsiaTheme="minorEastAsia"/>
        </w:rPr>
        <w:t>①</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完成海甸校区三西路片区安保服务及维护区域内秩序管理和安全巡逻服务，城西校区校园物业服务；</w:t>
      </w:r>
      <w:r>
        <w:rPr>
          <w:rFonts w:hint="eastAsia" w:asciiTheme="minorEastAsia" w:hAnsiTheme="minorEastAsia" w:eastAsiaTheme="minorEastAsia" w:cstheme="minorEastAsia"/>
          <w:kern w:val="0"/>
          <w:sz w:val="28"/>
          <w:szCs w:val="28"/>
        </w:rPr>
        <w:fldChar w:fldCharType="begin"/>
      </w:r>
      <w:r>
        <w:rPr>
          <w:rFonts w:hint="eastAsia" w:asciiTheme="minorEastAsia" w:hAnsiTheme="minorEastAsia" w:eastAsiaTheme="minorEastAsia" w:cstheme="minorEastAsia"/>
          <w:kern w:val="0"/>
          <w:sz w:val="28"/>
          <w:szCs w:val="28"/>
        </w:rPr>
        <w:instrText xml:space="preserve"> = 2 \* GB3 \* MERGEFORMAT </w:instrText>
      </w:r>
      <w:r>
        <w:rPr>
          <w:rFonts w:hint="eastAsia" w:asciiTheme="minorEastAsia" w:hAnsiTheme="minorEastAsia" w:eastAsiaTheme="minorEastAsia" w:cstheme="minorEastAsia"/>
          <w:kern w:val="0"/>
          <w:sz w:val="28"/>
          <w:szCs w:val="28"/>
        </w:rPr>
        <w:fldChar w:fldCharType="separate"/>
      </w:r>
      <w:r>
        <w:rPr>
          <w:rFonts w:asciiTheme="minorEastAsia" w:hAnsiTheme="minorEastAsia" w:eastAsiaTheme="minorEastAsia"/>
        </w:rPr>
        <w:t>②</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水沟淤泥和楼顶杂物清理6处，绿篱、花坛施肥4次，苗木补种补栽9处；</w:t>
      </w:r>
      <w:r>
        <w:rPr>
          <w:rFonts w:asciiTheme="minorEastAsia" w:hAnsiTheme="minorEastAsia" w:eastAsiaTheme="minorEastAsia" w:cstheme="minorEastAsia"/>
          <w:kern w:val="0"/>
          <w:sz w:val="28"/>
          <w:szCs w:val="28"/>
        </w:rPr>
        <w:fldChar w:fldCharType="begin"/>
      </w:r>
      <w:r>
        <w:rPr>
          <w:rFonts w:asciiTheme="minorEastAsia" w:hAnsiTheme="minorEastAsia" w:eastAsiaTheme="minorEastAsia" w:cstheme="minorEastAsia"/>
          <w:kern w:val="0"/>
          <w:sz w:val="28"/>
          <w:szCs w:val="28"/>
        </w:rPr>
        <w:instrText xml:space="preserve"> = 3 \* GB3 \* MERGEFORMAT </w:instrText>
      </w:r>
      <w:r>
        <w:rPr>
          <w:rFonts w:asciiTheme="minorEastAsia" w:hAnsiTheme="minorEastAsia" w:eastAsiaTheme="minorEastAsia" w:cstheme="minorEastAsia"/>
          <w:kern w:val="0"/>
          <w:sz w:val="28"/>
          <w:szCs w:val="28"/>
        </w:rPr>
        <w:fldChar w:fldCharType="separate"/>
      </w:r>
      <w:r>
        <w:rPr>
          <w:rFonts w:asciiTheme="minorEastAsia" w:hAnsiTheme="minorEastAsia" w:eastAsiaTheme="minorEastAsia"/>
        </w:rPr>
        <w:t>③</w:t>
      </w:r>
      <w:r>
        <w:rPr>
          <w:rFonts w:asciiTheme="minorEastAsia" w:hAnsiTheme="minorEastAsia" w:eastAsiaTheme="minorEastAsia" w:cstheme="minorEastAsia"/>
          <w:kern w:val="0"/>
          <w:sz w:val="28"/>
          <w:szCs w:val="28"/>
        </w:rPr>
        <w:fldChar w:fldCharType="end"/>
      </w:r>
      <w:r>
        <w:rPr>
          <w:rFonts w:asciiTheme="minorEastAsia" w:hAnsiTheme="minorEastAsia" w:eastAsiaTheme="minorEastAsia" w:cstheme="minorEastAsia"/>
          <w:kern w:val="0"/>
          <w:sz w:val="28"/>
          <w:szCs w:val="28"/>
        </w:rPr>
        <w:t>垃圾及时清运处理</w:t>
      </w:r>
      <w:r>
        <w:rPr>
          <w:rFonts w:hint="eastAsia" w:asciiTheme="minorEastAsia" w:hAnsiTheme="minorEastAsia" w:eastAsiaTheme="minorEastAsia" w:cstheme="minorEastAsia"/>
          <w:kern w:val="0"/>
          <w:sz w:val="28"/>
          <w:szCs w:val="28"/>
        </w:rPr>
        <w:t>1997车；</w:t>
      </w:r>
      <w:r>
        <w:rPr>
          <w:rFonts w:asciiTheme="minorEastAsia" w:hAnsiTheme="minorEastAsia" w:eastAsiaTheme="minorEastAsia" w:cstheme="minorEastAsia"/>
          <w:kern w:val="0"/>
          <w:sz w:val="28"/>
          <w:szCs w:val="28"/>
        </w:rPr>
        <w:fldChar w:fldCharType="begin"/>
      </w:r>
      <w:r>
        <w:rPr>
          <w:rFonts w:asciiTheme="minorEastAsia" w:hAnsiTheme="minorEastAsia" w:eastAsiaTheme="minorEastAsia" w:cstheme="minorEastAsia"/>
          <w:kern w:val="0"/>
          <w:sz w:val="28"/>
          <w:szCs w:val="28"/>
        </w:rPr>
        <w:instrText xml:space="preserve"> = 4 \* GB3 \* MERGEFORMAT </w:instrText>
      </w:r>
      <w:r>
        <w:rPr>
          <w:rFonts w:asciiTheme="minorEastAsia" w:hAnsiTheme="minorEastAsia" w:eastAsiaTheme="minorEastAsia" w:cstheme="minorEastAsia"/>
          <w:kern w:val="0"/>
          <w:sz w:val="28"/>
          <w:szCs w:val="28"/>
        </w:rPr>
        <w:fldChar w:fldCharType="separate"/>
      </w:r>
      <w:r>
        <w:rPr>
          <w:rFonts w:asciiTheme="minorEastAsia" w:hAnsiTheme="minorEastAsia" w:eastAsiaTheme="minorEastAsia"/>
        </w:rPr>
        <w:t>④</w:t>
      </w:r>
      <w:r>
        <w:rPr>
          <w:rFonts w:asciiTheme="minorEastAsia" w:hAnsiTheme="minorEastAsia" w:eastAsiaTheme="minorEastAsia" w:cstheme="minorEastAsia"/>
          <w:kern w:val="0"/>
          <w:sz w:val="28"/>
          <w:szCs w:val="28"/>
        </w:rPr>
        <w:fldChar w:fldCharType="end"/>
      </w:r>
      <w:r>
        <w:rPr>
          <w:rFonts w:asciiTheme="minorEastAsia" w:hAnsiTheme="minorEastAsia" w:eastAsiaTheme="minorEastAsia" w:cstheme="minorEastAsia"/>
          <w:kern w:val="0"/>
          <w:sz w:val="28"/>
          <w:szCs w:val="28"/>
        </w:rPr>
        <w:t>开展了包括参加全国大学生好声音比赛，举办大学生艺术展、朗读者大赛、校媒文化节、“学宪法 讲宪法”等活动在内的10场校园文化精品活动；举办18场精品讲座；拍摄1部专题片；正式出版发行《海大轶事》一书；全年官微正常推送；在《光明日报》、《海南日报》等主流媒体上发表学校专题文章；编辑出版15期校报。</w:t>
      </w:r>
    </w:p>
    <w:p>
      <w:pPr>
        <w:autoSpaceDE w:val="0"/>
        <w:autoSpaceDN w:val="0"/>
        <w:adjustRightInd w:val="0"/>
        <w:spacing w:line="360" w:lineRule="auto"/>
        <w:ind w:firstLine="600"/>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lang w:val="zh-CN"/>
        </w:rPr>
        <w:t>（</w:t>
      </w:r>
      <w:r>
        <w:rPr>
          <w:rFonts w:cs="仿宋" w:asciiTheme="minorEastAsia" w:hAnsiTheme="minorEastAsia" w:eastAsiaTheme="minorEastAsia"/>
          <w:kern w:val="0"/>
          <w:sz w:val="28"/>
          <w:szCs w:val="28"/>
          <w:lang w:val="zh-CN"/>
        </w:rPr>
        <w:t>2</w:t>
      </w:r>
      <w:r>
        <w:rPr>
          <w:rFonts w:hint="eastAsia" w:cs="仿宋" w:asciiTheme="minorEastAsia" w:hAnsiTheme="minorEastAsia" w:eastAsiaTheme="minorEastAsia"/>
          <w:kern w:val="0"/>
          <w:sz w:val="28"/>
          <w:szCs w:val="28"/>
          <w:lang w:val="zh-CN"/>
        </w:rPr>
        <w:t>）项目实施对经济和社会的影响</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fldChar w:fldCharType="begin"/>
      </w:r>
      <w:r>
        <w:rPr>
          <w:rFonts w:hint="eastAsia" w:asciiTheme="minorEastAsia" w:hAnsiTheme="minorEastAsia" w:eastAsiaTheme="minorEastAsia" w:cstheme="minorEastAsia"/>
          <w:kern w:val="0"/>
          <w:sz w:val="28"/>
          <w:szCs w:val="28"/>
        </w:rPr>
        <w:instrText xml:space="preserve"> = 1 \* GB3 \* MERGEFORMAT </w:instrText>
      </w:r>
      <w:r>
        <w:rPr>
          <w:rFonts w:hint="eastAsia" w:asciiTheme="minorEastAsia" w:hAnsiTheme="minorEastAsia" w:eastAsiaTheme="minorEastAsia" w:cstheme="minorEastAsia"/>
          <w:kern w:val="0"/>
          <w:sz w:val="28"/>
          <w:szCs w:val="28"/>
        </w:rPr>
        <w:fldChar w:fldCharType="separate"/>
      </w:r>
      <w:r>
        <w:rPr>
          <w:rFonts w:asciiTheme="minorEastAsia" w:hAnsiTheme="minorEastAsia" w:eastAsiaTheme="minorEastAsia"/>
        </w:rPr>
        <w:t>①</w:t>
      </w:r>
      <w:r>
        <w:rPr>
          <w:rFonts w:hint="eastAsia"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保证海甸校区各门岗车辆的有序进出和住宅区域的安全，城西校区校园的整洁舒适；</w:t>
      </w:r>
      <w:r>
        <w:rPr>
          <w:rFonts w:hint="eastAsia" w:asciiTheme="minorEastAsia" w:hAnsiTheme="minorEastAsia" w:eastAsiaTheme="minorEastAsia" w:cstheme="minorEastAsia"/>
          <w:kern w:val="0"/>
          <w:sz w:val="28"/>
          <w:szCs w:val="28"/>
        </w:rPr>
        <w:fldChar w:fldCharType="begin"/>
      </w:r>
      <w:r>
        <w:rPr>
          <w:rFonts w:hint="eastAsia" w:asciiTheme="minorEastAsia" w:hAnsiTheme="minorEastAsia" w:eastAsiaTheme="minorEastAsia" w:cstheme="minorEastAsia"/>
          <w:kern w:val="0"/>
          <w:sz w:val="28"/>
          <w:szCs w:val="28"/>
        </w:rPr>
        <w:instrText xml:space="preserve"> = 2 \* GB3 \* MERGEFORMAT </w:instrText>
      </w:r>
      <w:r>
        <w:rPr>
          <w:rFonts w:hint="eastAsia" w:asciiTheme="minorEastAsia" w:hAnsiTheme="minorEastAsia" w:eastAsiaTheme="minorEastAsia" w:cstheme="minorEastAsia"/>
          <w:kern w:val="0"/>
          <w:sz w:val="28"/>
          <w:szCs w:val="28"/>
        </w:rPr>
        <w:fldChar w:fldCharType="separate"/>
      </w:r>
      <w:r>
        <w:rPr>
          <w:rFonts w:asciiTheme="minorEastAsia" w:hAnsiTheme="minorEastAsia" w:eastAsiaTheme="minorEastAsia"/>
        </w:rPr>
        <w:t>②</w:t>
      </w:r>
      <w:r>
        <w:rPr>
          <w:rFonts w:hint="eastAsia" w:asciiTheme="minorEastAsia" w:hAnsiTheme="minorEastAsia" w:eastAsiaTheme="minorEastAsia" w:cstheme="minorEastAsia"/>
          <w:kern w:val="0"/>
          <w:sz w:val="28"/>
          <w:szCs w:val="28"/>
        </w:rPr>
        <w:fldChar w:fldCharType="end"/>
      </w:r>
      <w:r>
        <w:rPr>
          <w:rFonts w:asciiTheme="minorEastAsia" w:hAnsiTheme="minorEastAsia" w:eastAsiaTheme="minorEastAsia" w:cstheme="minorEastAsia"/>
          <w:kern w:val="0"/>
          <w:sz w:val="28"/>
          <w:szCs w:val="28"/>
        </w:rPr>
        <w:t>解决海甸校区校园黄土裸露</w:t>
      </w:r>
      <w:r>
        <w:rPr>
          <w:rFonts w:hint="eastAsia" w:asciiTheme="minorEastAsia" w:hAnsiTheme="minorEastAsia" w:eastAsiaTheme="minorEastAsia" w:cstheme="minorEastAsia"/>
          <w:kern w:val="0"/>
          <w:sz w:val="28"/>
          <w:szCs w:val="28"/>
        </w:rPr>
        <w:t>，</w:t>
      </w:r>
      <w:r>
        <w:rPr>
          <w:rFonts w:asciiTheme="minorEastAsia" w:hAnsiTheme="minorEastAsia" w:eastAsiaTheme="minorEastAsia" w:cstheme="minorEastAsia"/>
          <w:kern w:val="0"/>
          <w:sz w:val="28"/>
          <w:szCs w:val="28"/>
        </w:rPr>
        <w:t>有效改善校园绿化环境，确保校园美化，为师生工作、学习和生活营造良好的校园环境</w:t>
      </w:r>
      <w:r>
        <w:rPr>
          <w:rFonts w:hint="eastAsia" w:asciiTheme="minorEastAsia" w:hAnsiTheme="minorEastAsia" w:eastAsiaTheme="minorEastAsia" w:cstheme="minorEastAsia"/>
          <w:kern w:val="0"/>
          <w:sz w:val="28"/>
          <w:szCs w:val="28"/>
        </w:rPr>
        <w:t>；</w:t>
      </w:r>
      <w:r>
        <w:rPr>
          <w:rFonts w:asciiTheme="minorEastAsia" w:hAnsiTheme="minorEastAsia" w:eastAsiaTheme="minorEastAsia" w:cstheme="minorEastAsia"/>
          <w:kern w:val="0"/>
          <w:sz w:val="28"/>
          <w:szCs w:val="28"/>
        </w:rPr>
        <w:fldChar w:fldCharType="begin"/>
      </w:r>
      <w:r>
        <w:rPr>
          <w:rFonts w:asciiTheme="minorEastAsia" w:hAnsiTheme="minorEastAsia" w:eastAsiaTheme="minorEastAsia" w:cstheme="minorEastAsia"/>
          <w:kern w:val="0"/>
          <w:sz w:val="28"/>
          <w:szCs w:val="28"/>
        </w:rPr>
        <w:instrText xml:space="preserve"> = 3 \* GB3 \* MERGEFORMAT </w:instrText>
      </w:r>
      <w:r>
        <w:rPr>
          <w:rFonts w:asciiTheme="minorEastAsia" w:hAnsiTheme="minorEastAsia" w:eastAsiaTheme="minorEastAsia" w:cstheme="minorEastAsia"/>
          <w:kern w:val="0"/>
          <w:sz w:val="28"/>
          <w:szCs w:val="28"/>
        </w:rPr>
        <w:fldChar w:fldCharType="separate"/>
      </w:r>
      <w:r>
        <w:rPr>
          <w:rFonts w:asciiTheme="minorEastAsia" w:hAnsiTheme="minorEastAsia" w:eastAsiaTheme="minorEastAsia"/>
        </w:rPr>
        <w:t>③</w:t>
      </w:r>
      <w:r>
        <w:rPr>
          <w:rFonts w:asciiTheme="minorEastAsia" w:hAnsiTheme="minorEastAsia" w:eastAsiaTheme="minorEastAsia" w:cstheme="minorEastAsia"/>
          <w:kern w:val="0"/>
          <w:sz w:val="28"/>
          <w:szCs w:val="28"/>
        </w:rPr>
        <w:fldChar w:fldCharType="end"/>
      </w:r>
      <w:r>
        <w:rPr>
          <w:rFonts w:hint="eastAsia" w:asciiTheme="minorEastAsia" w:hAnsiTheme="minorEastAsia" w:eastAsiaTheme="minorEastAsia" w:cstheme="minorEastAsia"/>
          <w:kern w:val="0"/>
          <w:sz w:val="28"/>
          <w:szCs w:val="28"/>
        </w:rPr>
        <w:t>生活垃圾和绿化垃圾日产日清，彻底解决生活垃圾二次转运带来的二次污染问题，推进“创建爱国卫生工作”上一个台阶；</w:t>
      </w:r>
      <w:r>
        <w:rPr>
          <w:rFonts w:asciiTheme="minorEastAsia" w:hAnsiTheme="minorEastAsia" w:eastAsiaTheme="minorEastAsia" w:cstheme="minorEastAsia"/>
          <w:kern w:val="0"/>
          <w:sz w:val="28"/>
          <w:szCs w:val="28"/>
        </w:rPr>
        <w:fldChar w:fldCharType="begin"/>
      </w:r>
      <w:r>
        <w:rPr>
          <w:rFonts w:asciiTheme="minorEastAsia" w:hAnsiTheme="minorEastAsia" w:eastAsiaTheme="minorEastAsia" w:cstheme="minorEastAsia"/>
          <w:kern w:val="0"/>
          <w:sz w:val="28"/>
          <w:szCs w:val="28"/>
        </w:rPr>
        <w:instrText xml:space="preserve"> = 4 \* GB3 \* MERGEFORMAT </w:instrText>
      </w:r>
      <w:r>
        <w:rPr>
          <w:rFonts w:asciiTheme="minorEastAsia" w:hAnsiTheme="minorEastAsia" w:eastAsiaTheme="minorEastAsia" w:cstheme="minorEastAsia"/>
          <w:kern w:val="0"/>
          <w:sz w:val="28"/>
          <w:szCs w:val="28"/>
        </w:rPr>
        <w:fldChar w:fldCharType="separate"/>
      </w:r>
      <w:r>
        <w:rPr>
          <w:rFonts w:asciiTheme="minorEastAsia" w:hAnsiTheme="minorEastAsia" w:eastAsiaTheme="minorEastAsia"/>
        </w:rPr>
        <w:t>④</w:t>
      </w:r>
      <w:r>
        <w:rPr>
          <w:rFonts w:asciiTheme="minorEastAsia" w:hAnsiTheme="minorEastAsia" w:eastAsiaTheme="minorEastAsia" w:cstheme="minorEastAsia"/>
          <w:kern w:val="0"/>
          <w:sz w:val="28"/>
          <w:szCs w:val="28"/>
        </w:rPr>
        <w:fldChar w:fldCharType="end"/>
      </w:r>
      <w:r>
        <w:rPr>
          <w:rFonts w:asciiTheme="minorEastAsia" w:hAnsiTheme="minorEastAsia" w:eastAsiaTheme="minorEastAsia" w:cstheme="minorEastAsia"/>
          <w:kern w:val="0"/>
          <w:sz w:val="28"/>
          <w:szCs w:val="28"/>
        </w:rPr>
        <w:t>校园文化精品活动参与人员满意度高，覆盖人群达到预期；学校官微每天（除寒暑假期间是2-3次/星期推送外）都正常更新，官微的正常运营，为师生搭建了一个网络交流的平台，以此平台为“桥梁”，扩大学校与师生的接触面，让师生及时了解学校发展，积极发挥了“官微”重要的渠道作用。2018年围绕学校世界一流学科建设、部省合建、建校六十周年等重大事件在主流媒体和校报开展专题报道，报道学校的发展和取得的成绩，引起国内外校友的积极反响，效果很好，扩大了学校在国内外的影响力和知名度。</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4.</w:t>
      </w:r>
      <w:r>
        <w:rPr>
          <w:rFonts w:asciiTheme="minorEastAsia" w:hAnsiTheme="minorEastAsia" w:eastAsiaTheme="minorEastAsia" w:cstheme="minorEastAsia"/>
          <w:kern w:val="0"/>
          <w:sz w:val="28"/>
          <w:szCs w:val="28"/>
        </w:rPr>
        <w:t>项目的可持续性分析</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asciiTheme="minorEastAsia" w:hAnsiTheme="minorEastAsia" w:eastAsiaTheme="minorEastAsia" w:cstheme="minorEastAsia"/>
          <w:kern w:val="0"/>
          <w:sz w:val="28"/>
          <w:szCs w:val="28"/>
        </w:rPr>
        <w:t>校园</w:t>
      </w:r>
      <w:r>
        <w:rPr>
          <w:rFonts w:hint="eastAsia" w:asciiTheme="minorEastAsia" w:hAnsiTheme="minorEastAsia" w:eastAsiaTheme="minorEastAsia" w:cstheme="minorEastAsia"/>
          <w:kern w:val="0"/>
          <w:sz w:val="28"/>
          <w:szCs w:val="28"/>
        </w:rPr>
        <w:t>大门车辆的有序进出，校园</w:t>
      </w:r>
      <w:r>
        <w:rPr>
          <w:rFonts w:asciiTheme="minorEastAsia" w:hAnsiTheme="minorEastAsia" w:eastAsiaTheme="minorEastAsia" w:cstheme="minorEastAsia"/>
          <w:kern w:val="0"/>
          <w:sz w:val="28"/>
          <w:szCs w:val="28"/>
        </w:rPr>
        <w:t>绿化</w:t>
      </w:r>
      <w:r>
        <w:rPr>
          <w:rFonts w:hint="eastAsia" w:asciiTheme="minorEastAsia" w:hAnsiTheme="minorEastAsia" w:eastAsiaTheme="minorEastAsia" w:cstheme="minorEastAsia"/>
          <w:kern w:val="0"/>
          <w:sz w:val="28"/>
          <w:szCs w:val="28"/>
        </w:rPr>
        <w:t>的及时</w:t>
      </w:r>
      <w:r>
        <w:rPr>
          <w:rFonts w:asciiTheme="minorEastAsia" w:hAnsiTheme="minorEastAsia" w:eastAsiaTheme="minorEastAsia" w:cstheme="minorEastAsia"/>
          <w:kern w:val="0"/>
          <w:sz w:val="28"/>
          <w:szCs w:val="28"/>
        </w:rPr>
        <w:t>养护</w:t>
      </w:r>
      <w:r>
        <w:rPr>
          <w:rFonts w:hint="eastAsia" w:asciiTheme="minorEastAsia" w:hAnsiTheme="minorEastAsia" w:eastAsiaTheme="minorEastAsia" w:cstheme="minorEastAsia"/>
          <w:kern w:val="0"/>
          <w:sz w:val="28"/>
          <w:szCs w:val="28"/>
        </w:rPr>
        <w:t>和垃圾的日产日清是为师生员工创建</w:t>
      </w:r>
      <w:r>
        <w:rPr>
          <w:rFonts w:hint="eastAsia" w:cs="仿宋" w:asciiTheme="minorEastAsia" w:hAnsiTheme="minorEastAsia" w:eastAsiaTheme="minorEastAsia"/>
          <w:kern w:val="0"/>
          <w:sz w:val="28"/>
          <w:szCs w:val="28"/>
          <w:lang w:val="zh-CN"/>
        </w:rPr>
        <w:t>良好的学习、工作和生活环境的基础，所以此项目是一项必须持续的工作；</w:t>
      </w:r>
      <w:r>
        <w:rPr>
          <w:rFonts w:asciiTheme="minorEastAsia" w:hAnsiTheme="minorEastAsia" w:eastAsiaTheme="minorEastAsia" w:cstheme="minorEastAsia"/>
          <w:kern w:val="0"/>
          <w:sz w:val="28"/>
          <w:szCs w:val="28"/>
        </w:rPr>
        <w:t>校园文化建设是学校的系统工程，在高校的思想政治教育中发挥着重要的作用，加强校园文化建设对于教育引导学生践行社会主义核心价值观、提高大学生政治思想素质、全面提高大学生综合能力和素养，具有十分重要的意义。校园文化建设项目的实施，有助于促进我校校园文化建设全面协调发展，提升学校的影响力和知名度。因此高校校园文化建设是高校必须长期坚持的一项重要工作，具有可持续性和长期性的特点。</w:t>
      </w:r>
    </w:p>
    <w:p>
      <w:pPr>
        <w:autoSpaceDE w:val="0"/>
        <w:autoSpaceDN w:val="0"/>
        <w:adjustRightInd w:val="0"/>
        <w:spacing w:line="360" w:lineRule="auto"/>
        <w:ind w:firstLine="602" w:firstLineChars="200"/>
        <w:rPr>
          <w:rFonts w:cs="华文楷体" w:asciiTheme="minorEastAsia" w:hAnsiTheme="minorEastAsia" w:eastAsiaTheme="minorEastAsia"/>
          <w:b/>
          <w:bCs/>
          <w:kern w:val="0"/>
          <w:sz w:val="30"/>
          <w:szCs w:val="30"/>
        </w:rPr>
      </w:pPr>
      <w:r>
        <w:rPr>
          <w:rFonts w:hint="eastAsia" w:cs="华文楷体" w:asciiTheme="minorEastAsia" w:hAnsiTheme="minorEastAsia" w:eastAsiaTheme="minorEastAsia"/>
          <w:b/>
          <w:bCs/>
          <w:kern w:val="0"/>
          <w:sz w:val="30"/>
          <w:szCs w:val="30"/>
        </w:rPr>
        <w:t>（二）项目绩效目标未完成原因分析</w:t>
      </w:r>
    </w:p>
    <w:p>
      <w:pPr>
        <w:autoSpaceDE w:val="0"/>
        <w:autoSpaceDN w:val="0"/>
        <w:adjustRightInd w:val="0"/>
        <w:spacing w:line="360" w:lineRule="auto"/>
        <w:ind w:firstLine="560" w:firstLineChars="200"/>
        <w:rPr>
          <w:rFonts w:asciiTheme="minorEastAsia" w:hAnsiTheme="minorEastAsia" w:eastAsiaTheme="minorEastAsia" w:cstheme="minorEastAsia"/>
          <w:kern w:val="0"/>
          <w:sz w:val="28"/>
          <w:szCs w:val="28"/>
        </w:rPr>
      </w:pPr>
      <w:r>
        <w:rPr>
          <w:rFonts w:asciiTheme="minorEastAsia" w:hAnsiTheme="minorEastAsia" w:eastAsiaTheme="minorEastAsia" w:cstheme="minorEastAsia"/>
          <w:kern w:val="0"/>
          <w:sz w:val="28"/>
          <w:szCs w:val="28"/>
        </w:rPr>
        <w:t>本项目资金支出后的项目实际状况与预算批复的绩效指标一致，完成所有目标。</w:t>
      </w:r>
    </w:p>
    <w:p>
      <w:pPr>
        <w:autoSpaceDE w:val="0"/>
        <w:autoSpaceDN w:val="0"/>
        <w:adjustRightInd w:val="0"/>
        <w:spacing w:line="360" w:lineRule="auto"/>
        <w:ind w:firstLine="602"/>
        <w:rPr>
          <w:rFonts w:cs="仿宋" w:asciiTheme="minorEastAsia" w:hAnsiTheme="minorEastAsia" w:eastAsiaTheme="minorEastAsia"/>
          <w:b/>
          <w:bCs/>
          <w:kern w:val="0"/>
          <w:sz w:val="32"/>
          <w:szCs w:val="32"/>
          <w:lang w:val="zh-CN"/>
        </w:rPr>
      </w:pPr>
      <w:r>
        <w:rPr>
          <w:rFonts w:hint="eastAsia" w:cs="仿宋" w:asciiTheme="minorEastAsia" w:hAnsiTheme="minorEastAsia" w:eastAsiaTheme="minorEastAsia"/>
          <w:b/>
          <w:bCs/>
          <w:kern w:val="0"/>
          <w:sz w:val="32"/>
          <w:szCs w:val="32"/>
          <w:lang w:val="zh-CN"/>
        </w:rPr>
        <w:t>五、综合评价情况及评价结论</w:t>
      </w:r>
    </w:p>
    <w:p>
      <w:p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lang w:val="zh-CN"/>
        </w:rPr>
        <w:t>学校评价小组通过综合评价认为，该项目整体按照原预算和计划实施，项目管理规范有序，达到了预期的绩效目标，评价等次为优详见表4</w:t>
      </w:r>
      <w:r>
        <w:rPr>
          <w:rFonts w:hint="eastAsia" w:cs="仿宋" w:asciiTheme="minorEastAsia" w:hAnsiTheme="minorEastAsia" w:eastAsiaTheme="minorEastAsia"/>
          <w:kern w:val="0"/>
          <w:sz w:val="28"/>
          <w:szCs w:val="28"/>
        </w:rPr>
        <w:t>。</w:t>
      </w:r>
    </w:p>
    <w:p>
      <w:pPr>
        <w:autoSpaceDE w:val="0"/>
        <w:autoSpaceDN w:val="0"/>
        <w:adjustRightInd w:val="0"/>
        <w:spacing w:line="360" w:lineRule="auto"/>
        <w:ind w:firstLine="602"/>
        <w:jc w:val="center"/>
        <w:rPr>
          <w:rFonts w:cs="仿宋" w:asciiTheme="minorEastAsia" w:hAnsiTheme="minorEastAsia" w:eastAsiaTheme="minorEastAsia"/>
          <w:b/>
          <w:kern w:val="0"/>
          <w:sz w:val="24"/>
        </w:rPr>
      </w:pPr>
      <w:r>
        <w:rPr>
          <w:rFonts w:hint="eastAsia" w:cs="仿宋" w:asciiTheme="minorEastAsia" w:hAnsiTheme="minorEastAsia" w:eastAsiaTheme="minorEastAsia"/>
          <w:b/>
          <w:kern w:val="0"/>
          <w:sz w:val="24"/>
        </w:rPr>
        <w:t>表4     绩效评价表</w:t>
      </w:r>
    </w:p>
    <w:tbl>
      <w:tblPr>
        <w:tblStyle w:val="7"/>
        <w:tblW w:w="91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127"/>
        <w:gridCol w:w="2126"/>
        <w:gridCol w:w="871"/>
        <w:gridCol w:w="896"/>
        <w:gridCol w:w="896"/>
        <w:gridCol w:w="897"/>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647"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指标类型</w:t>
            </w:r>
          </w:p>
        </w:tc>
        <w:tc>
          <w:tcPr>
            <w:tcW w:w="2127"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指标名称</w:t>
            </w:r>
          </w:p>
        </w:tc>
        <w:tc>
          <w:tcPr>
            <w:tcW w:w="2126"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绩效目标</w:t>
            </w:r>
          </w:p>
        </w:tc>
        <w:tc>
          <w:tcPr>
            <w:tcW w:w="3560" w:type="dxa"/>
            <w:gridSpan w:val="4"/>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绩效标准</w:t>
            </w:r>
          </w:p>
        </w:tc>
        <w:tc>
          <w:tcPr>
            <w:tcW w:w="716"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自评结果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Merge w:val="continue"/>
            <w:vAlign w:val="center"/>
          </w:tcPr>
          <w:p>
            <w:pPr>
              <w:pStyle w:val="5"/>
              <w:widowControl/>
              <w:spacing w:line="340" w:lineRule="exact"/>
              <w:jc w:val="center"/>
              <w:rPr>
                <w:rFonts w:ascii="华文仿宋" w:hAnsi="华文仿宋" w:eastAsia="华文仿宋" w:cs="宋体"/>
              </w:rPr>
            </w:pPr>
          </w:p>
        </w:tc>
        <w:tc>
          <w:tcPr>
            <w:tcW w:w="2126" w:type="dxa"/>
            <w:vMerge w:val="continue"/>
            <w:vAlign w:val="center"/>
          </w:tcPr>
          <w:p>
            <w:pPr>
              <w:pStyle w:val="5"/>
              <w:widowControl/>
              <w:spacing w:line="340" w:lineRule="exact"/>
              <w:jc w:val="center"/>
              <w:rPr>
                <w:rFonts w:ascii="华文仿宋" w:hAnsi="华文仿宋" w:eastAsia="华文仿宋" w:cs="宋体"/>
              </w:rPr>
            </w:pPr>
          </w:p>
        </w:tc>
        <w:tc>
          <w:tcPr>
            <w:tcW w:w="871" w:type="dxa"/>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优</w:t>
            </w:r>
          </w:p>
        </w:tc>
        <w:tc>
          <w:tcPr>
            <w:tcW w:w="896" w:type="dxa"/>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良</w:t>
            </w:r>
          </w:p>
        </w:tc>
        <w:tc>
          <w:tcPr>
            <w:tcW w:w="896" w:type="dxa"/>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中</w:t>
            </w:r>
          </w:p>
        </w:tc>
        <w:tc>
          <w:tcPr>
            <w:tcW w:w="897" w:type="dxa"/>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差</w:t>
            </w:r>
          </w:p>
        </w:tc>
        <w:tc>
          <w:tcPr>
            <w:tcW w:w="716" w:type="dxa"/>
            <w:vMerge w:val="continue"/>
            <w:vAlign w:val="center"/>
          </w:tcPr>
          <w:p>
            <w:pPr>
              <w:pStyle w:val="5"/>
              <w:widowControl/>
              <w:spacing w:line="340" w:lineRule="exact"/>
              <w:jc w:val="center"/>
              <w:rPr>
                <w:rFonts w:ascii="华文仿宋" w:hAnsi="华文仿宋" w:eastAsia="华文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产出指标</w:t>
            </w:r>
          </w:p>
        </w:tc>
        <w:tc>
          <w:tcPr>
            <w:tcW w:w="2127"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2992" behindDoc="0" locked="0" layoutInCell="1" allowOverlap="1">
                  <wp:simplePos x="0" y="0"/>
                  <wp:positionH relativeFrom="column">
                    <wp:posOffset>0</wp:posOffset>
                  </wp:positionH>
                  <wp:positionV relativeFrom="paragraph">
                    <wp:posOffset>0</wp:posOffset>
                  </wp:positionV>
                  <wp:extent cx="635" cy="171450"/>
                  <wp:effectExtent l="0" t="0" r="0" b="0"/>
                  <wp:wrapNone/>
                  <wp:docPr id="1" name="Picture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_1"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 xml:space="preserve"> 处级以上干部网络培训覆盖率</w:t>
            </w:r>
          </w:p>
        </w:tc>
        <w:tc>
          <w:tcPr>
            <w:tcW w:w="2126"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工作年度内不低于97%</w:t>
            </w:r>
          </w:p>
        </w:tc>
        <w:tc>
          <w:tcPr>
            <w:tcW w:w="871"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≥97%</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86%</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80%</w:t>
            </w:r>
          </w:p>
        </w:tc>
        <w:tc>
          <w:tcPr>
            <w:tcW w:w="897"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70%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4"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4016" behindDoc="0" locked="0" layoutInCell="1" allowOverlap="1">
                  <wp:simplePos x="0" y="0"/>
                  <wp:positionH relativeFrom="column">
                    <wp:posOffset>0</wp:posOffset>
                  </wp:positionH>
                  <wp:positionV relativeFrom="paragraph">
                    <wp:posOffset>0</wp:posOffset>
                  </wp:positionV>
                  <wp:extent cx="635" cy="171450"/>
                  <wp:effectExtent l="0" t="0" r="0" b="0"/>
                  <wp:wrapNone/>
                  <wp:docPr id="2" name="Picture_1_SpCnt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_1_SpCnt_1"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 xml:space="preserve"> 科级及以下干部人均年脱产培训学时数</w:t>
            </w:r>
          </w:p>
        </w:tc>
        <w:tc>
          <w:tcPr>
            <w:tcW w:w="2126"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 xml:space="preserve"> 工作年度内人均不少于45学时  </w:t>
            </w:r>
          </w:p>
        </w:tc>
        <w:tc>
          <w:tcPr>
            <w:tcW w:w="871"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≥45</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40学时</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35学时</w:t>
            </w:r>
          </w:p>
        </w:tc>
        <w:tc>
          <w:tcPr>
            <w:tcW w:w="897"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20学时</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5040" behindDoc="0" locked="0" layoutInCell="1" allowOverlap="1">
                  <wp:simplePos x="0" y="0"/>
                  <wp:positionH relativeFrom="column">
                    <wp:posOffset>0</wp:posOffset>
                  </wp:positionH>
                  <wp:positionV relativeFrom="paragraph">
                    <wp:posOffset>0</wp:posOffset>
                  </wp:positionV>
                  <wp:extent cx="635" cy="171450"/>
                  <wp:effectExtent l="0" t="0" r="0" b="0"/>
                  <wp:wrapNone/>
                  <wp:docPr id="3" name="Picture_1_SpCnt_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_1_SpCnt_2" descr="/"/>
                          <pic:cNvPicPr>
                            <a:picLocks noChangeAspect="1"/>
                          </pic:cNvPicPr>
                        </pic:nvPicPr>
                        <pic:blipFill>
                          <a:blip r:embed="rId6"/>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控制案件的发生数</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控制案件2件内</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2件</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3-4件</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5-6件</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7件</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6064" behindDoc="0" locked="0" layoutInCell="1" allowOverlap="1">
                  <wp:simplePos x="0" y="0"/>
                  <wp:positionH relativeFrom="column">
                    <wp:posOffset>0</wp:posOffset>
                  </wp:positionH>
                  <wp:positionV relativeFrom="paragraph">
                    <wp:posOffset>0</wp:posOffset>
                  </wp:positionV>
                  <wp:extent cx="635" cy="304800"/>
                  <wp:effectExtent l="0" t="0" r="0" b="0"/>
                  <wp:wrapNone/>
                  <wp:docPr id="4" name="Picture_1_SpCnt_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_1_SpCnt_3"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《海大故事》/《海大人物》采编</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完成采编所需资料的收集、整理、汇总。</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完成工作量的90%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完成工作量的80%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完成工作量的70%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完成工作量的60%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7088" behindDoc="0" locked="0" layoutInCell="1" allowOverlap="1">
                  <wp:simplePos x="0" y="0"/>
                  <wp:positionH relativeFrom="column">
                    <wp:posOffset>0</wp:posOffset>
                  </wp:positionH>
                  <wp:positionV relativeFrom="paragraph">
                    <wp:posOffset>0</wp:posOffset>
                  </wp:positionV>
                  <wp:extent cx="635" cy="171450"/>
                  <wp:effectExtent l="0" t="0" r="0" b="0"/>
                  <wp:wrapNone/>
                  <wp:docPr id="5" name="Picture_1_SpCnt_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_1_SpCnt_4"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保洁服务</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校园各场所污损面积占总面积比例小于10%</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10—20%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20—30%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30%以上</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8112" behindDoc="0" locked="0" layoutInCell="1" allowOverlap="1">
                  <wp:simplePos x="0" y="0"/>
                  <wp:positionH relativeFrom="column">
                    <wp:posOffset>0</wp:posOffset>
                  </wp:positionH>
                  <wp:positionV relativeFrom="paragraph">
                    <wp:posOffset>0</wp:posOffset>
                  </wp:positionV>
                  <wp:extent cx="635" cy="171450"/>
                  <wp:effectExtent l="0" t="0" r="0" b="0"/>
                  <wp:wrapNone/>
                  <wp:docPr id="6" name="Picture_1_SpCnt_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_1_SpCnt_5"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处级及以上干部人均年脱产培训学时数</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 xml:space="preserve"> 工作年度内人均不少于85学时   </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≥85</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80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70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60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9136" behindDoc="0" locked="0" layoutInCell="1" allowOverlap="1">
                  <wp:simplePos x="0" y="0"/>
                  <wp:positionH relativeFrom="column">
                    <wp:posOffset>0</wp:posOffset>
                  </wp:positionH>
                  <wp:positionV relativeFrom="paragraph">
                    <wp:posOffset>0</wp:posOffset>
                  </wp:positionV>
                  <wp:extent cx="635" cy="171450"/>
                  <wp:effectExtent l="0" t="0" r="0" b="0"/>
                  <wp:wrapNone/>
                  <wp:docPr id="7" name="Picture_1_SpCnt_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_1_SpCnt_6"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精品讲座</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举办5-10场讲座</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9场</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8场</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6场</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5场</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0160" behindDoc="0" locked="0" layoutInCell="1" allowOverlap="1">
                  <wp:simplePos x="0" y="0"/>
                  <wp:positionH relativeFrom="column">
                    <wp:posOffset>0</wp:posOffset>
                  </wp:positionH>
                  <wp:positionV relativeFrom="paragraph">
                    <wp:posOffset>0</wp:posOffset>
                  </wp:positionV>
                  <wp:extent cx="635" cy="304800"/>
                  <wp:effectExtent l="0" t="0" r="0" b="0"/>
                  <wp:wrapNone/>
                  <wp:docPr id="8" name="Picture_1_SpCnt_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_1_SpCnt_7"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开展校园文化活动</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 xml:space="preserve">举办约5-10场文化活动  </w:t>
            </w:r>
          </w:p>
        </w:tc>
        <w:tc>
          <w:tcPr>
            <w:tcW w:w="871" w:type="dxa"/>
            <w:vAlign w:val="center"/>
          </w:tcPr>
          <w:p>
            <w:pPr>
              <w:widowControl/>
              <w:spacing w:line="340" w:lineRule="exact"/>
              <w:jc w:val="left"/>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完成工作量的90%</w:t>
            </w:r>
          </w:p>
        </w:tc>
        <w:tc>
          <w:tcPr>
            <w:tcW w:w="896" w:type="dxa"/>
            <w:vAlign w:val="center"/>
          </w:tcPr>
          <w:p>
            <w:pPr>
              <w:widowControl/>
              <w:spacing w:line="340" w:lineRule="exact"/>
              <w:jc w:val="left"/>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完成工作量的80%</w:t>
            </w:r>
          </w:p>
        </w:tc>
        <w:tc>
          <w:tcPr>
            <w:tcW w:w="896" w:type="dxa"/>
            <w:vAlign w:val="center"/>
          </w:tcPr>
          <w:p>
            <w:pPr>
              <w:widowControl/>
              <w:spacing w:line="340" w:lineRule="exact"/>
              <w:jc w:val="left"/>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完成工作量的70%</w:t>
            </w:r>
          </w:p>
        </w:tc>
        <w:tc>
          <w:tcPr>
            <w:tcW w:w="897" w:type="dxa"/>
            <w:vAlign w:val="center"/>
          </w:tcPr>
          <w:p>
            <w:pPr>
              <w:widowControl/>
              <w:spacing w:line="340" w:lineRule="exact"/>
              <w:jc w:val="left"/>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完成工作量的60%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1184" behindDoc="0" locked="0" layoutInCell="1" allowOverlap="1">
                  <wp:simplePos x="0" y="0"/>
                  <wp:positionH relativeFrom="column">
                    <wp:posOffset>0</wp:posOffset>
                  </wp:positionH>
                  <wp:positionV relativeFrom="paragraph">
                    <wp:posOffset>0</wp:posOffset>
                  </wp:positionV>
                  <wp:extent cx="635" cy="171450"/>
                  <wp:effectExtent l="0" t="0" r="0" b="0"/>
                  <wp:wrapNone/>
                  <wp:docPr id="9" name="Picture_1_SpCnt_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_1_SpCnt_8"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科级及以下干部人均年网络培训学时数</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工作年度内人均不低于45学时</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≥45</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40学时</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35学时</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20学时</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2208" behindDoc="0" locked="0" layoutInCell="1" allowOverlap="1">
                  <wp:simplePos x="0" y="0"/>
                  <wp:positionH relativeFrom="column">
                    <wp:posOffset>0</wp:posOffset>
                  </wp:positionH>
                  <wp:positionV relativeFrom="paragraph">
                    <wp:posOffset>0</wp:posOffset>
                  </wp:positionV>
                  <wp:extent cx="635" cy="304800"/>
                  <wp:effectExtent l="0" t="0" r="0" b="0"/>
                  <wp:wrapNone/>
                  <wp:docPr id="10" name="Picture_1_SpCnt_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_1_SpCnt_9"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科级及以下干部网络培训覆盖率</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工作年度内不低于55%</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≥55%</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40%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30%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3232" behindDoc="0" locked="0" layoutInCell="1" allowOverlap="1">
                  <wp:simplePos x="0" y="0"/>
                  <wp:positionH relativeFrom="column">
                    <wp:posOffset>0</wp:posOffset>
                  </wp:positionH>
                  <wp:positionV relativeFrom="paragraph">
                    <wp:posOffset>0</wp:posOffset>
                  </wp:positionV>
                  <wp:extent cx="635" cy="304800"/>
                  <wp:effectExtent l="0" t="0" r="0" b="0"/>
                  <wp:wrapNone/>
                  <wp:docPr id="11" name="Picture_1_SpCnt_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_1_SpCnt_10"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垃圾及时清运处理，日产日清</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1840车</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1500车以上</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1300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1000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800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4256" behindDoc="0" locked="0" layoutInCell="1" allowOverlap="1">
                  <wp:simplePos x="0" y="0"/>
                  <wp:positionH relativeFrom="column">
                    <wp:posOffset>0</wp:posOffset>
                  </wp:positionH>
                  <wp:positionV relativeFrom="paragraph">
                    <wp:posOffset>0</wp:posOffset>
                  </wp:positionV>
                  <wp:extent cx="635" cy="171450"/>
                  <wp:effectExtent l="0" t="0" r="0" b="0"/>
                  <wp:wrapNone/>
                  <wp:docPr id="12" name="Picture_1_SpCnt_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_1_SpCnt_11"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绿地养护</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校园绿地损坏面积占绿地面积比例小于10%</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10—20%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20—30%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30%以上</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5280" behindDoc="0" locked="0" layoutInCell="1" allowOverlap="1">
                  <wp:simplePos x="0" y="0"/>
                  <wp:positionH relativeFrom="column">
                    <wp:posOffset>0</wp:posOffset>
                  </wp:positionH>
                  <wp:positionV relativeFrom="paragraph">
                    <wp:posOffset>0</wp:posOffset>
                  </wp:positionV>
                  <wp:extent cx="635" cy="171450"/>
                  <wp:effectExtent l="0" t="0" r="0" b="0"/>
                  <wp:wrapNone/>
                  <wp:docPr id="13" name="Picture_1_SpCnt_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_1_SpCnt_12"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绿篱、花坛施肥</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4次</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3次</w:t>
            </w:r>
          </w:p>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以上</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2次</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1次</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0次</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6304" behindDoc="0" locked="0" layoutInCell="1" allowOverlap="1">
                  <wp:simplePos x="0" y="0"/>
                  <wp:positionH relativeFrom="column">
                    <wp:posOffset>0</wp:posOffset>
                  </wp:positionH>
                  <wp:positionV relativeFrom="paragraph">
                    <wp:posOffset>0</wp:posOffset>
                  </wp:positionV>
                  <wp:extent cx="635" cy="171450"/>
                  <wp:effectExtent l="0" t="0" r="0" b="0"/>
                  <wp:wrapNone/>
                  <wp:docPr id="14" name="Picture_1_SpCnt_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_1_SpCnt_13"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苗木补种补栽</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9处</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7处</w:t>
            </w:r>
          </w:p>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以上</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6处</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5处</w:t>
            </w:r>
          </w:p>
        </w:tc>
        <w:tc>
          <w:tcPr>
            <w:tcW w:w="897"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4处</w:t>
            </w:r>
          </w:p>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以下</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7328" behindDoc="0" locked="0" layoutInCell="1" allowOverlap="1">
                  <wp:simplePos x="0" y="0"/>
                  <wp:positionH relativeFrom="column">
                    <wp:posOffset>0</wp:posOffset>
                  </wp:positionH>
                  <wp:positionV relativeFrom="paragraph">
                    <wp:posOffset>0</wp:posOffset>
                  </wp:positionV>
                  <wp:extent cx="635" cy="171450"/>
                  <wp:effectExtent l="0" t="0" r="0" b="0"/>
                  <wp:wrapNone/>
                  <wp:docPr id="15" name="Picture_1_SpCnt_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_1_SpCnt_14"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水沟淤泥和楼顶杂物清理</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10处</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7处</w:t>
            </w:r>
          </w:p>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以上</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6处</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5处</w:t>
            </w:r>
          </w:p>
        </w:tc>
        <w:tc>
          <w:tcPr>
            <w:tcW w:w="897"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4处</w:t>
            </w:r>
          </w:p>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以下</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8352" behindDoc="0" locked="0" layoutInCell="1" allowOverlap="1">
                  <wp:simplePos x="0" y="0"/>
                  <wp:positionH relativeFrom="column">
                    <wp:posOffset>0</wp:posOffset>
                  </wp:positionH>
                  <wp:positionV relativeFrom="paragraph">
                    <wp:posOffset>0</wp:posOffset>
                  </wp:positionV>
                  <wp:extent cx="635" cy="304800"/>
                  <wp:effectExtent l="0" t="0" r="0" b="0"/>
                  <wp:wrapNone/>
                  <wp:docPr id="16" name="Picture_1_SpCnt_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_1_SpCnt_15"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文化专题宣传</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拍摄2-3部文化专题片、收集整理专题文化相关资料。</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完成工作量的90%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完成工作量的80%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完成工作量的70%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完成工作量的60%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7"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49376" behindDoc="0" locked="0" layoutInCell="1" allowOverlap="1">
                  <wp:simplePos x="0" y="0"/>
                  <wp:positionH relativeFrom="column">
                    <wp:posOffset>0</wp:posOffset>
                  </wp:positionH>
                  <wp:positionV relativeFrom="paragraph">
                    <wp:posOffset>0</wp:posOffset>
                  </wp:positionV>
                  <wp:extent cx="635" cy="304800"/>
                  <wp:effectExtent l="0" t="0" r="0" b="0"/>
                  <wp:wrapNone/>
                  <wp:docPr id="17" name="Picture_1_SpCnt_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_1_SpCnt_16"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校园文化理论研究</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设立5-10项研究课题</w:t>
            </w:r>
          </w:p>
        </w:tc>
        <w:tc>
          <w:tcPr>
            <w:tcW w:w="871"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完成工作量的90%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完成工作量的80%</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完成工作量的70%</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完成工作量的60%</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1" w:hRule="atLeast"/>
          <w:jc w:val="center"/>
        </w:trPr>
        <w:tc>
          <w:tcPr>
            <w:tcW w:w="647" w:type="dxa"/>
            <w:vMerge w:val="restart"/>
            <w:vAlign w:val="center"/>
          </w:tcPr>
          <w:p>
            <w:pPr>
              <w:pStyle w:val="5"/>
              <w:widowControl/>
              <w:spacing w:line="340" w:lineRule="exact"/>
              <w:jc w:val="center"/>
              <w:rPr>
                <w:rFonts w:ascii="华文仿宋" w:hAnsi="华文仿宋" w:eastAsia="华文仿宋" w:cs="宋体"/>
              </w:rPr>
            </w:pPr>
            <w:r>
              <w:rPr>
                <w:rFonts w:hint="eastAsia" w:ascii="华文仿宋" w:hAnsi="华文仿宋" w:eastAsia="华文仿宋" w:cs="宋体"/>
              </w:rPr>
              <w:t>成效指标</w:t>
            </w:r>
          </w:p>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26848" behindDoc="0" locked="0" layoutInCell="1" allowOverlap="1">
                  <wp:simplePos x="0" y="0"/>
                  <wp:positionH relativeFrom="column">
                    <wp:posOffset>0</wp:posOffset>
                  </wp:positionH>
                  <wp:positionV relativeFrom="paragraph">
                    <wp:posOffset>0</wp:posOffset>
                  </wp:positionV>
                  <wp:extent cx="635" cy="171450"/>
                  <wp:effectExtent l="0" t="0" r="0" b="0"/>
                  <wp:wrapNone/>
                  <wp:docPr id="18" name="Picture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_1" descr="/"/>
                          <pic:cNvPicPr>
                            <a:picLocks noChangeAspect="1"/>
                          </pic:cNvPicPr>
                        </pic:nvPicPr>
                        <pic:blipFill>
                          <a:blip r:embed="rId6"/>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1、门岗的执勤形象改进，加强安全责任。2、车辆乱停乱放事件减少、进出车辆进出有序，通道畅通不再拥堵。</w:t>
            </w:r>
          </w:p>
        </w:tc>
        <w:tc>
          <w:tcPr>
            <w:tcW w:w="2126"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满意达95%</w:t>
            </w:r>
          </w:p>
        </w:tc>
        <w:tc>
          <w:tcPr>
            <w:tcW w:w="871"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≧90%</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80-89%</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75-80%</w:t>
            </w:r>
          </w:p>
        </w:tc>
        <w:tc>
          <w:tcPr>
            <w:tcW w:w="897"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≤75%</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27872" behindDoc="0" locked="0" layoutInCell="1" allowOverlap="1">
                  <wp:simplePos x="0" y="0"/>
                  <wp:positionH relativeFrom="column">
                    <wp:posOffset>0</wp:posOffset>
                  </wp:positionH>
                  <wp:positionV relativeFrom="paragraph">
                    <wp:posOffset>0</wp:posOffset>
                  </wp:positionV>
                  <wp:extent cx="635" cy="171450"/>
                  <wp:effectExtent l="0" t="0" r="0" b="0"/>
                  <wp:wrapNone/>
                  <wp:docPr id="19" name="Picture_1_SpCnt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_1_SpCnt_1"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干部工作水平特别是执行力提高程度</w:t>
            </w:r>
          </w:p>
        </w:tc>
        <w:tc>
          <w:tcPr>
            <w:tcW w:w="2126" w:type="dxa"/>
            <w:vAlign w:val="center"/>
          </w:tcPr>
          <w:p>
            <w:pPr>
              <w:widowControl/>
              <w:spacing w:line="340" w:lineRule="exact"/>
              <w:jc w:val="left"/>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通过培训，管理干部工作水平，特别是执行力明显提高。</w:t>
            </w:r>
          </w:p>
        </w:tc>
        <w:tc>
          <w:tcPr>
            <w:tcW w:w="871" w:type="dxa"/>
            <w:vAlign w:val="center"/>
          </w:tcPr>
          <w:p>
            <w:pPr>
              <w:widowControl/>
              <w:spacing w:line="340" w:lineRule="exact"/>
              <w:ind w:left="120" w:hanging="120" w:hangingChars="50"/>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非常</w:t>
            </w:r>
          </w:p>
          <w:p>
            <w:pPr>
              <w:widowControl/>
              <w:spacing w:line="340" w:lineRule="exact"/>
              <w:ind w:left="120" w:hanging="120" w:hangingChars="50"/>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明显</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明显</w:t>
            </w:r>
          </w:p>
        </w:tc>
        <w:tc>
          <w:tcPr>
            <w:tcW w:w="896"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一般</w:t>
            </w:r>
          </w:p>
        </w:tc>
        <w:tc>
          <w:tcPr>
            <w:tcW w:w="897" w:type="dxa"/>
            <w:vAlign w:val="center"/>
          </w:tcPr>
          <w:p>
            <w:pPr>
              <w:widowControl/>
              <w:spacing w:line="340" w:lineRule="exact"/>
              <w:jc w:val="center"/>
              <w:textAlignment w:val="center"/>
              <w:rPr>
                <w:rFonts w:ascii="华文仿宋" w:hAnsi="华文仿宋" w:eastAsia="华文仿宋" w:cs="宋体"/>
                <w:color w:val="00B050"/>
                <w:sz w:val="24"/>
              </w:rPr>
            </w:pPr>
            <w:r>
              <w:rPr>
                <w:rFonts w:hint="eastAsia" w:ascii="华文仿宋" w:hAnsi="华文仿宋" w:eastAsia="华文仿宋" w:cs="宋体"/>
                <w:color w:val="000000"/>
                <w:kern w:val="0"/>
                <w:sz w:val="24"/>
              </w:rPr>
              <w:t>不明显</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1"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left"/>
              <w:textAlignment w:val="center"/>
              <w:rPr>
                <w:rFonts w:ascii="华文仿宋" w:hAnsi="华文仿宋" w:eastAsia="华文仿宋" w:cs="宋体"/>
                <w:color w:val="FF0000"/>
                <w:sz w:val="24"/>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28896" behindDoc="0" locked="0" layoutInCell="1" allowOverlap="1">
                  <wp:simplePos x="0" y="0"/>
                  <wp:positionH relativeFrom="column">
                    <wp:posOffset>0</wp:posOffset>
                  </wp:positionH>
                  <wp:positionV relativeFrom="paragraph">
                    <wp:posOffset>0</wp:posOffset>
                  </wp:positionV>
                  <wp:extent cx="635" cy="171450"/>
                  <wp:effectExtent l="0" t="0" r="0" b="0"/>
                  <wp:wrapNone/>
                  <wp:docPr id="20" name="Picture_1_SpCnt_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_1_SpCnt_2"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干部思想政治素质提高程度</w:t>
            </w:r>
          </w:p>
        </w:tc>
        <w:tc>
          <w:tcPr>
            <w:tcW w:w="2126" w:type="dxa"/>
            <w:vAlign w:val="center"/>
          </w:tcPr>
          <w:p>
            <w:pPr>
              <w:widowControl/>
              <w:spacing w:line="340" w:lineRule="exact"/>
              <w:jc w:val="left"/>
              <w:textAlignment w:val="center"/>
              <w:rPr>
                <w:rFonts w:ascii="华文仿宋" w:hAnsi="华文仿宋" w:eastAsia="华文仿宋" w:cs="宋体"/>
                <w:sz w:val="24"/>
              </w:rPr>
            </w:pPr>
            <w:r>
              <w:rPr>
                <w:rFonts w:hint="eastAsia" w:ascii="华文仿宋" w:hAnsi="华文仿宋" w:eastAsia="华文仿宋" w:cs="宋体"/>
                <w:color w:val="000000"/>
                <w:kern w:val="0"/>
                <w:sz w:val="24"/>
              </w:rPr>
              <w:t>通过培训，管理干部思想政治素质明显提高。</w:t>
            </w:r>
          </w:p>
        </w:tc>
        <w:tc>
          <w:tcPr>
            <w:tcW w:w="871" w:type="dxa"/>
            <w:vAlign w:val="center"/>
          </w:tcPr>
          <w:p>
            <w:pPr>
              <w:widowControl/>
              <w:spacing w:line="340" w:lineRule="exact"/>
              <w:ind w:left="120" w:hanging="120" w:hangingChars="50"/>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非常</w:t>
            </w:r>
          </w:p>
          <w:p>
            <w:pPr>
              <w:widowControl/>
              <w:spacing w:line="340" w:lineRule="exact"/>
              <w:ind w:left="120" w:hanging="120" w:hangingChars="50"/>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明显</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明显</w:t>
            </w:r>
          </w:p>
        </w:tc>
        <w:tc>
          <w:tcPr>
            <w:tcW w:w="896"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一般</w:t>
            </w:r>
          </w:p>
        </w:tc>
        <w:tc>
          <w:tcPr>
            <w:tcW w:w="897" w:type="dxa"/>
            <w:vAlign w:val="center"/>
          </w:tcPr>
          <w:p>
            <w:pPr>
              <w:widowControl/>
              <w:spacing w:line="340" w:lineRule="exact"/>
              <w:jc w:val="center"/>
              <w:textAlignment w:val="center"/>
              <w:rPr>
                <w:rFonts w:ascii="华文仿宋" w:hAnsi="华文仿宋" w:eastAsia="华文仿宋" w:cs="宋体"/>
                <w:sz w:val="24"/>
              </w:rPr>
            </w:pPr>
            <w:r>
              <w:rPr>
                <w:rFonts w:hint="eastAsia" w:ascii="华文仿宋" w:hAnsi="华文仿宋" w:eastAsia="华文仿宋" w:cs="宋体"/>
                <w:color w:val="000000"/>
                <w:kern w:val="0"/>
                <w:sz w:val="24"/>
              </w:rPr>
              <w:t>不明显</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textAlignment w:val="center"/>
              <w:rPr>
                <w:rFonts w:ascii="华文仿宋" w:hAnsi="华文仿宋" w:eastAsia="华文仿宋" w:cs="宋体"/>
                <w:color w:val="000000"/>
                <w:kern w:val="0"/>
                <w:sz w:val="24"/>
                <w:bdr w:val="single" w:color="000000" w:sz="4" w:space="0"/>
                <w:shd w:val="clear" w:color="auto" w:fill="FFFFFF"/>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29920" behindDoc="0" locked="0" layoutInCell="1" allowOverlap="1">
                  <wp:simplePos x="0" y="0"/>
                  <wp:positionH relativeFrom="column">
                    <wp:posOffset>0</wp:posOffset>
                  </wp:positionH>
                  <wp:positionV relativeFrom="paragraph">
                    <wp:posOffset>0</wp:posOffset>
                  </wp:positionV>
                  <wp:extent cx="635" cy="457200"/>
                  <wp:effectExtent l="0" t="0" r="0" b="0"/>
                  <wp:wrapNone/>
                  <wp:docPr id="21" name="Picture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_1" descr="/"/>
                          <pic:cNvPicPr>
                            <a:picLocks noChangeAspect="1"/>
                          </pic:cNvPicPr>
                        </pic:nvPicPr>
                        <pic:blipFill>
                          <a:blip r:embed="rId8"/>
                          <a:stretch>
                            <a:fillRect/>
                          </a:stretch>
                        </pic:blipFill>
                        <pic:spPr>
                          <a:xfrm>
                            <a:off x="0" y="0"/>
                            <a:ext cx="635" cy="457200"/>
                          </a:xfrm>
                          <a:prstGeom prst="rect">
                            <a:avLst/>
                          </a:prstGeom>
                          <a:noFill/>
                          <a:ln>
                            <a:noFill/>
                          </a:ln>
                        </pic:spPr>
                      </pic:pic>
                    </a:graphicData>
                  </a:graphic>
                </wp:anchor>
              </w:drawing>
            </w:r>
            <w:r>
              <w:rPr>
                <w:rFonts w:hint="eastAsia" w:ascii="华文仿宋" w:hAnsi="华文仿宋" w:eastAsia="华文仿宋" w:cs="宋体"/>
                <w:color w:val="000000"/>
                <w:kern w:val="0"/>
                <w:sz w:val="24"/>
              </w:rPr>
              <w:t>师生的知晓率、满意度</w:t>
            </w:r>
          </w:p>
        </w:tc>
        <w:tc>
          <w:tcPr>
            <w:tcW w:w="2126" w:type="dxa"/>
            <w:vAlign w:val="center"/>
          </w:tcPr>
          <w:p>
            <w:pPr>
              <w:widowControl/>
              <w:spacing w:line="340" w:lineRule="exact"/>
              <w:jc w:val="left"/>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创建校园文化精品，强化道德养成功能，提高学校文化品位，促进学生全面发展；传承优秀大学文化，加强内涵丰富的校园人文环境和自然环境建设，营造良好的育人环境和氛围，不断满足大学生日益增长的精神文化需要。</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师生的知晓率、满意度90%以上</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师生的知晓率、满意度80%以上</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师生的知晓率、满意度70%以上</w:t>
            </w:r>
          </w:p>
        </w:tc>
        <w:tc>
          <w:tcPr>
            <w:tcW w:w="897"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师生的知晓率、满意度60%以上</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center"/>
              <w:textAlignment w:val="center"/>
              <w:rPr>
                <w:rFonts w:ascii="华文仿宋" w:hAnsi="华文仿宋" w:eastAsia="华文仿宋" w:cs="宋体"/>
                <w:color w:val="000000"/>
                <w:kern w:val="0"/>
                <w:sz w:val="24"/>
                <w:bdr w:val="single" w:color="000000" w:sz="4" w:space="0"/>
                <w:shd w:val="clear" w:color="auto" w:fill="FFFFFF"/>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0944" behindDoc="0" locked="0" layoutInCell="1" allowOverlap="1">
                  <wp:simplePos x="0" y="0"/>
                  <wp:positionH relativeFrom="column">
                    <wp:posOffset>0</wp:posOffset>
                  </wp:positionH>
                  <wp:positionV relativeFrom="paragraph">
                    <wp:posOffset>0</wp:posOffset>
                  </wp:positionV>
                  <wp:extent cx="635" cy="171450"/>
                  <wp:effectExtent l="0" t="0" r="0" b="0"/>
                  <wp:wrapNone/>
                  <wp:docPr id="22" name="Picture_1_SpCnt_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_1_SpCnt_1" descr="/"/>
                          <pic:cNvPicPr>
                            <a:picLocks noChangeAspect="1"/>
                          </pic:cNvPicPr>
                        </pic:nvPicPr>
                        <pic:blipFill>
                          <a:blip r:embed="rId5"/>
                          <a:stretch>
                            <a:fillRect/>
                          </a:stretch>
                        </pic:blipFill>
                        <pic:spPr>
                          <a:xfrm>
                            <a:off x="0" y="0"/>
                            <a:ext cx="635" cy="171450"/>
                          </a:xfrm>
                          <a:prstGeom prst="rect">
                            <a:avLst/>
                          </a:prstGeom>
                          <a:noFill/>
                          <a:ln>
                            <a:noFill/>
                          </a:ln>
                        </pic:spPr>
                      </pic:pic>
                    </a:graphicData>
                  </a:graphic>
                </wp:anchor>
              </w:drawing>
            </w:r>
            <w:r>
              <w:rPr>
                <w:rFonts w:hint="eastAsia" w:ascii="华文仿宋" w:hAnsi="华文仿宋" w:eastAsia="华文仿宋" w:cs="宋体"/>
                <w:color w:val="000000"/>
                <w:kern w:val="0"/>
                <w:sz w:val="24"/>
              </w:rPr>
              <w:t>师生生活环境满意度</w:t>
            </w:r>
          </w:p>
        </w:tc>
        <w:tc>
          <w:tcPr>
            <w:tcW w:w="212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85%</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85%</w:t>
            </w:r>
          </w:p>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以上</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80-84%</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75-79%</w:t>
            </w:r>
          </w:p>
        </w:tc>
        <w:tc>
          <w:tcPr>
            <w:tcW w:w="897"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75%</w:t>
            </w:r>
          </w:p>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以下</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647" w:type="dxa"/>
            <w:vMerge w:val="continue"/>
            <w:vAlign w:val="center"/>
          </w:tcPr>
          <w:p>
            <w:pPr>
              <w:pStyle w:val="5"/>
              <w:widowControl/>
              <w:spacing w:line="340" w:lineRule="exact"/>
              <w:jc w:val="center"/>
              <w:rPr>
                <w:rFonts w:ascii="华文仿宋" w:hAnsi="华文仿宋" w:eastAsia="华文仿宋" w:cs="宋体"/>
              </w:rPr>
            </w:pPr>
          </w:p>
        </w:tc>
        <w:tc>
          <w:tcPr>
            <w:tcW w:w="2127" w:type="dxa"/>
            <w:vAlign w:val="center"/>
          </w:tcPr>
          <w:p>
            <w:pPr>
              <w:widowControl/>
              <w:spacing w:line="340" w:lineRule="exact"/>
              <w:jc w:val="center"/>
              <w:textAlignment w:val="center"/>
              <w:rPr>
                <w:rFonts w:ascii="华文仿宋" w:hAnsi="华文仿宋" w:eastAsia="华文仿宋" w:cs="宋体"/>
                <w:color w:val="000000"/>
                <w:kern w:val="0"/>
                <w:sz w:val="24"/>
                <w:bdr w:val="single" w:color="000000" w:sz="4" w:space="0"/>
                <w:shd w:val="clear" w:color="auto" w:fill="FFFFFF"/>
              </w:rPr>
            </w:pPr>
            <w:r>
              <w:rPr>
                <w:rFonts w:hint="eastAsia" w:ascii="华文仿宋" w:hAnsi="华文仿宋" w:eastAsia="华文仿宋" w:cs="宋体"/>
                <w:color w:val="000000"/>
                <w:kern w:val="0"/>
                <w:sz w:val="24"/>
                <w:bdr w:val="single" w:color="000000" w:sz="4" w:space="0"/>
                <w:shd w:val="clear" w:color="auto" w:fill="FFFFFF"/>
              </w:rPr>
              <w:drawing>
                <wp:anchor distT="0" distB="0" distL="114300" distR="114300" simplePos="0" relativeHeight="251731968" behindDoc="0" locked="0" layoutInCell="1" allowOverlap="1">
                  <wp:simplePos x="0" y="0"/>
                  <wp:positionH relativeFrom="column">
                    <wp:posOffset>0</wp:posOffset>
                  </wp:positionH>
                  <wp:positionV relativeFrom="paragraph">
                    <wp:posOffset>0</wp:posOffset>
                  </wp:positionV>
                  <wp:extent cx="635" cy="304800"/>
                  <wp:effectExtent l="0" t="0" r="0" b="0"/>
                  <wp:wrapNone/>
                  <wp:docPr id="23" name="Picture_1_SpCnt_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_1_SpCnt_2" descr="/"/>
                          <pic:cNvPicPr>
                            <a:picLocks noChangeAspect="1"/>
                          </pic:cNvPicPr>
                        </pic:nvPicPr>
                        <pic:blipFill>
                          <a:blip r:embed="rId7"/>
                          <a:stretch>
                            <a:fillRect/>
                          </a:stretch>
                        </pic:blipFill>
                        <pic:spPr>
                          <a:xfrm>
                            <a:off x="0" y="0"/>
                            <a:ext cx="635" cy="304800"/>
                          </a:xfrm>
                          <a:prstGeom prst="rect">
                            <a:avLst/>
                          </a:prstGeom>
                          <a:noFill/>
                          <a:ln>
                            <a:noFill/>
                          </a:ln>
                        </pic:spPr>
                      </pic:pic>
                    </a:graphicData>
                  </a:graphic>
                </wp:anchor>
              </w:drawing>
            </w:r>
            <w:r>
              <w:rPr>
                <w:rFonts w:hint="eastAsia" w:ascii="华文仿宋" w:hAnsi="华文仿宋" w:eastAsia="华文仿宋" w:cs="宋体"/>
                <w:color w:val="000000"/>
                <w:kern w:val="0"/>
                <w:sz w:val="24"/>
              </w:rPr>
              <w:t>校园环境干净整洁程度</w:t>
            </w:r>
          </w:p>
        </w:tc>
        <w:tc>
          <w:tcPr>
            <w:tcW w:w="212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非常干净整洁</w:t>
            </w:r>
          </w:p>
        </w:tc>
        <w:tc>
          <w:tcPr>
            <w:tcW w:w="871"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非常干净整洁</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干净</w:t>
            </w:r>
          </w:p>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整洁</w:t>
            </w:r>
          </w:p>
        </w:tc>
        <w:tc>
          <w:tcPr>
            <w:tcW w:w="89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基本干净整洁</w:t>
            </w:r>
          </w:p>
        </w:tc>
        <w:tc>
          <w:tcPr>
            <w:tcW w:w="897"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有脏乱差区域</w:t>
            </w:r>
          </w:p>
        </w:tc>
        <w:tc>
          <w:tcPr>
            <w:tcW w:w="716" w:type="dxa"/>
            <w:vAlign w:val="center"/>
          </w:tcPr>
          <w:p>
            <w:pPr>
              <w:widowControl/>
              <w:spacing w:line="340" w:lineRule="exact"/>
              <w:jc w:val="center"/>
              <w:textAlignment w:val="center"/>
              <w:rPr>
                <w:rFonts w:ascii="华文仿宋" w:hAnsi="华文仿宋" w:eastAsia="华文仿宋" w:cs="宋体"/>
                <w:color w:val="000000"/>
                <w:kern w:val="0"/>
                <w:sz w:val="24"/>
              </w:rPr>
            </w:pPr>
            <w:r>
              <w:rPr>
                <w:rFonts w:hint="eastAsia" w:ascii="华文仿宋" w:hAnsi="华文仿宋" w:eastAsia="华文仿宋" w:cs="宋体"/>
                <w:color w:val="000000"/>
                <w:kern w:val="0"/>
                <w:sz w:val="24"/>
              </w:rPr>
              <w:t>优</w:t>
            </w:r>
          </w:p>
        </w:tc>
      </w:tr>
    </w:tbl>
    <w:p>
      <w:pPr>
        <w:autoSpaceDE w:val="0"/>
        <w:autoSpaceDN w:val="0"/>
        <w:adjustRightInd w:val="0"/>
        <w:spacing w:line="360" w:lineRule="auto"/>
        <w:ind w:firstLine="602"/>
        <w:rPr>
          <w:rFonts w:cs="仿宋" w:asciiTheme="minorEastAsia" w:hAnsiTheme="minorEastAsia" w:eastAsiaTheme="minorEastAsia"/>
          <w:kern w:val="0"/>
          <w:sz w:val="28"/>
          <w:szCs w:val="28"/>
        </w:rPr>
      </w:pPr>
    </w:p>
    <w:p>
      <w:pPr>
        <w:autoSpaceDE w:val="0"/>
        <w:autoSpaceDN w:val="0"/>
        <w:adjustRightInd w:val="0"/>
        <w:spacing w:line="360" w:lineRule="auto"/>
        <w:ind w:firstLine="602"/>
        <w:rPr>
          <w:rFonts w:cs="仿宋" w:asciiTheme="minorEastAsia" w:hAnsiTheme="minorEastAsia" w:eastAsiaTheme="minorEastAsia"/>
          <w:b/>
          <w:bCs/>
          <w:kern w:val="0"/>
          <w:sz w:val="32"/>
          <w:szCs w:val="32"/>
          <w:lang w:val="zh-CN"/>
        </w:rPr>
      </w:pPr>
      <w:r>
        <w:rPr>
          <w:rFonts w:hint="eastAsia" w:cs="仿宋" w:asciiTheme="minorEastAsia" w:hAnsiTheme="minorEastAsia" w:eastAsiaTheme="minorEastAsia"/>
          <w:b/>
          <w:bCs/>
          <w:kern w:val="0"/>
          <w:sz w:val="32"/>
          <w:szCs w:val="32"/>
          <w:lang w:val="zh-CN"/>
        </w:rPr>
        <w:t>六、主要经验及做法、存在的问题和建议</w:t>
      </w:r>
    </w:p>
    <w:p>
      <w:pPr>
        <w:autoSpaceDE w:val="0"/>
        <w:autoSpaceDN w:val="0"/>
        <w:adjustRightInd w:val="0"/>
        <w:spacing w:line="360" w:lineRule="auto"/>
        <w:ind w:firstLine="600"/>
        <w:rPr>
          <w:rFonts w:cs="仿宋" w:asciiTheme="minorEastAsia" w:hAnsiTheme="minorEastAsia" w:eastAsiaTheme="minorEastAsia"/>
          <w:b/>
          <w:bCs/>
          <w:kern w:val="0"/>
          <w:sz w:val="30"/>
          <w:szCs w:val="30"/>
          <w:lang w:val="zh-CN"/>
        </w:rPr>
      </w:pPr>
      <w:r>
        <w:rPr>
          <w:rFonts w:hint="eastAsia" w:cs="仿宋" w:asciiTheme="minorEastAsia" w:hAnsiTheme="minorEastAsia" w:eastAsiaTheme="minorEastAsia"/>
          <w:kern w:val="0"/>
          <w:sz w:val="30"/>
          <w:szCs w:val="30"/>
          <w:lang w:val="zh-CN"/>
        </w:rPr>
        <w:t>（一）</w:t>
      </w:r>
      <w:r>
        <w:rPr>
          <w:rFonts w:hint="eastAsia" w:cs="仿宋" w:asciiTheme="minorEastAsia" w:hAnsiTheme="minorEastAsia" w:eastAsiaTheme="minorEastAsia"/>
          <w:b/>
          <w:bCs/>
          <w:kern w:val="0"/>
          <w:sz w:val="30"/>
          <w:szCs w:val="30"/>
          <w:lang w:val="zh-CN"/>
        </w:rPr>
        <w:t>主要经验及做法</w:t>
      </w:r>
    </w:p>
    <w:p>
      <w:pPr>
        <w:autoSpaceDE w:val="0"/>
        <w:autoSpaceDN w:val="0"/>
        <w:adjustRightInd w:val="0"/>
        <w:spacing w:line="360" w:lineRule="auto"/>
        <w:ind w:firstLine="602"/>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rPr>
        <w:t>1、</w:t>
      </w:r>
      <w:r>
        <w:rPr>
          <w:rFonts w:hint="eastAsia" w:cs="仿宋" w:asciiTheme="minorEastAsia" w:hAnsiTheme="minorEastAsia" w:eastAsiaTheme="minorEastAsia"/>
          <w:kern w:val="0"/>
          <w:sz w:val="28"/>
          <w:szCs w:val="28"/>
          <w:lang w:val="zh-CN"/>
        </w:rPr>
        <w:t>加强制度建设，规范管理，赢在执行；创新工作经验，加强业务培训。</w:t>
      </w:r>
    </w:p>
    <w:p>
      <w:pPr>
        <w:autoSpaceDE w:val="0"/>
        <w:autoSpaceDN w:val="0"/>
        <w:adjustRightInd w:val="0"/>
        <w:spacing w:line="360" w:lineRule="auto"/>
        <w:ind w:firstLine="602"/>
        <w:rPr>
          <w:rFonts w:cs="仿宋" w:asciiTheme="minorEastAsia" w:hAnsiTheme="minorEastAsia" w:eastAsiaTheme="minorEastAsia"/>
          <w:kern w:val="0"/>
          <w:sz w:val="28"/>
          <w:szCs w:val="28"/>
          <w:lang w:val="zh-CN"/>
        </w:rPr>
      </w:pPr>
      <w:r>
        <w:rPr>
          <w:rFonts w:hint="eastAsia" w:cs="仿宋" w:asciiTheme="minorEastAsia" w:hAnsiTheme="minorEastAsia" w:eastAsiaTheme="minorEastAsia"/>
          <w:kern w:val="0"/>
          <w:sz w:val="28"/>
          <w:szCs w:val="28"/>
        </w:rPr>
        <w:t>2</w:t>
      </w:r>
      <w:r>
        <w:rPr>
          <w:rFonts w:hint="eastAsia" w:cs="仿宋" w:asciiTheme="minorEastAsia" w:hAnsiTheme="minorEastAsia" w:eastAsiaTheme="minorEastAsia"/>
          <w:kern w:val="0"/>
          <w:sz w:val="28"/>
          <w:szCs w:val="28"/>
          <w:lang w:val="zh-CN"/>
        </w:rPr>
        <w:t>、积极沟通，确保成效。积极与农林学院相关老师沟通，收集各方苗木补种建议，并邀请专家到现场查看讨论，最后才确定符合海甸校区实际的苗木品种，达到预期效果；生活垃圾、绿化垃圾属于每天必须清运工作，如有差错将严重影响全校师生的生活和学习。每年1-3月均属于封账期，但是垃圾清运工作必须每天进行，费用必须产生，不能及时报账，承包方承受很多成本压力。通过及时沟通，积极做好承包方工作，保证按质按量完成垃圾清运工作，确保校园环境整洁、舒适。</w:t>
      </w:r>
    </w:p>
    <w:p>
      <w:p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3、</w:t>
      </w:r>
      <w:r>
        <w:rPr>
          <w:rFonts w:hint="eastAsia" w:cs="仿宋" w:asciiTheme="minorEastAsia" w:hAnsiTheme="minorEastAsia" w:eastAsiaTheme="minorEastAsia"/>
          <w:kern w:val="0"/>
          <w:sz w:val="28"/>
          <w:szCs w:val="28"/>
          <w:lang w:val="zh-CN"/>
        </w:rPr>
        <w:t>严格控制，专人管理，节约成本。</w:t>
      </w:r>
      <w:r>
        <w:rPr>
          <w:rFonts w:hint="eastAsia" w:cs="仿宋" w:asciiTheme="minorEastAsia" w:hAnsiTheme="minorEastAsia" w:eastAsiaTheme="minorEastAsia"/>
          <w:kern w:val="0"/>
          <w:sz w:val="28"/>
          <w:szCs w:val="28"/>
        </w:rPr>
        <w:t>在项目执行过程中，严格按照项目管理制度和财务管理制度实施，加强项目管理和监督，</w:t>
      </w:r>
      <w:r>
        <w:rPr>
          <w:rFonts w:hint="eastAsia" w:cs="仿宋" w:asciiTheme="minorEastAsia" w:hAnsiTheme="minorEastAsia" w:eastAsiaTheme="minorEastAsia"/>
          <w:kern w:val="0"/>
          <w:sz w:val="28"/>
          <w:szCs w:val="28"/>
          <w:lang w:val="zh-CN"/>
        </w:rPr>
        <w:t>及时进行市场询价，建立专人负责制，每天巡查，按照工作需要安排清理工作，有效节约成本，并做</w:t>
      </w:r>
      <w:r>
        <w:rPr>
          <w:rFonts w:hint="eastAsia" w:cs="仿宋" w:asciiTheme="minorEastAsia" w:hAnsiTheme="minorEastAsia" w:eastAsiaTheme="minorEastAsia"/>
          <w:kern w:val="0"/>
          <w:sz w:val="28"/>
          <w:szCs w:val="28"/>
        </w:rPr>
        <w:t>好任务分解和分工，尽可能制定完善的实施计划，按照工作任务实施目标进行分解，落实到具体责任人，保障项目的顺利进行。根据实际情况，对各项子项目的实施进行实时跟踪，监督检查，确保工作落到实处。加强人才培养，重视团队建设。团队成员具备良好的业务水平和饱满的工作热情，是顺利完成各项工作的保障。</w:t>
      </w:r>
    </w:p>
    <w:p>
      <w:p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4、加强统筹力度，增强工作的预见性和前瞻性，尽可能把问题和困难考虑得全面些，做好工作预案，尽力推动项目按计划实施，减少不可预见因素的干扰。在项目实施中精准统计人数、天数和其他数据，既保证培训质量，又减少不必要的浪费。</w:t>
      </w:r>
    </w:p>
    <w:p>
      <w:pPr>
        <w:autoSpaceDE w:val="0"/>
        <w:autoSpaceDN w:val="0"/>
        <w:adjustRightInd w:val="0"/>
        <w:spacing w:line="360" w:lineRule="auto"/>
        <w:ind w:firstLine="602"/>
        <w:rPr>
          <w:rFonts w:cs="仿宋" w:asciiTheme="minorEastAsia" w:hAnsiTheme="minorEastAsia" w:eastAsiaTheme="minorEastAsia"/>
          <w:b/>
          <w:bCs/>
          <w:kern w:val="0"/>
          <w:sz w:val="30"/>
          <w:szCs w:val="30"/>
        </w:rPr>
      </w:pPr>
      <w:r>
        <w:rPr>
          <w:rFonts w:hint="eastAsia" w:cs="仿宋" w:asciiTheme="minorEastAsia" w:hAnsiTheme="minorEastAsia" w:eastAsiaTheme="minorEastAsia"/>
          <w:b/>
          <w:bCs/>
          <w:kern w:val="0"/>
          <w:sz w:val="30"/>
          <w:szCs w:val="30"/>
        </w:rPr>
        <w:t>（二）存在的问题和建议</w:t>
      </w:r>
    </w:p>
    <w:p>
      <w:p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b/>
          <w:kern w:val="0"/>
          <w:sz w:val="28"/>
          <w:szCs w:val="28"/>
        </w:rPr>
        <w:t>存在问题:</w:t>
      </w:r>
      <w:r>
        <w:rPr>
          <w:rFonts w:hint="eastAsia" w:cs="仿宋" w:asciiTheme="minorEastAsia" w:hAnsiTheme="minorEastAsia" w:eastAsiaTheme="minorEastAsia"/>
          <w:kern w:val="0"/>
          <w:sz w:val="28"/>
          <w:szCs w:val="28"/>
        </w:rPr>
        <w:t>1、劳务输出待遇低不好招工、人员流动性大、聘用人员年龄偏大。</w:t>
      </w:r>
    </w:p>
    <w:p>
      <w:pPr>
        <w:numPr>
          <w:ilvl w:val="0"/>
          <w:numId w:val="5"/>
        </w:num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有些校园文化活动集中在下半年举办，活动结束已接近年底，年底报账通常比较困难，由此常导致当年的项目支出需要跨年度报账，有些项目资金使用程序比较繁琐。</w:t>
      </w:r>
    </w:p>
    <w:p>
      <w:pPr>
        <w:numPr>
          <w:ilvl w:val="0"/>
          <w:numId w:val="5"/>
        </w:num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培训计划制定得不够科学，有一些培训项目不在计划中但又非常重要必须实施，增加了不少工作量。</w:t>
      </w:r>
    </w:p>
    <w:p>
      <w:p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b/>
          <w:kern w:val="0"/>
          <w:sz w:val="28"/>
          <w:szCs w:val="28"/>
        </w:rPr>
        <w:t>建议：</w:t>
      </w:r>
      <w:r>
        <w:rPr>
          <w:rFonts w:hint="eastAsia" w:cs="仿宋" w:asciiTheme="minorEastAsia" w:hAnsiTheme="minorEastAsia" w:eastAsiaTheme="minorEastAsia"/>
          <w:kern w:val="0"/>
          <w:sz w:val="28"/>
          <w:szCs w:val="28"/>
        </w:rPr>
        <w:t>1、适当调整员工工资待遇、加强员工业务技能培训、与其他物业单位交流、学习、沟通。</w:t>
      </w:r>
    </w:p>
    <w:p>
      <w:pPr>
        <w:numPr>
          <w:ilvl w:val="0"/>
          <w:numId w:val="6"/>
        </w:num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是否可适当延长资金执行的截止时间；涉及招投标的项目，在严格规范的基础上，简化各审批程序，缩短审批时间，加快项目经费的执行力度。</w:t>
      </w:r>
    </w:p>
    <w:p>
      <w:pPr>
        <w:numPr>
          <w:ilvl w:val="0"/>
          <w:numId w:val="6"/>
        </w:numPr>
        <w:autoSpaceDE w:val="0"/>
        <w:autoSpaceDN w:val="0"/>
        <w:adjustRightInd w:val="0"/>
        <w:spacing w:line="360" w:lineRule="auto"/>
        <w:ind w:firstLine="602"/>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进一步增强培训计划的科学性，加大工作的统筹力度；在培训项目实施过程中加强精细化管理，杜绝可能的浪费现象；培训结束后要加强总结与反思，努力改进工作，使有限的培训经费发挥更大效用。</w:t>
      </w:r>
    </w:p>
    <w:p>
      <w:pPr>
        <w:ind w:left="250" w:leftChars="119" w:firstLine="321"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七、其他需说明的问题</w:t>
      </w:r>
    </w:p>
    <w:p>
      <w:pPr>
        <w:ind w:firstLine="840" w:firstLineChars="300"/>
        <w:rPr>
          <w:rFonts w:asciiTheme="minorEastAsia" w:hAnsiTheme="minorEastAsia" w:eastAsiaTheme="minorEastAsia"/>
          <w:b/>
          <w:sz w:val="28"/>
          <w:szCs w:val="28"/>
        </w:rPr>
      </w:pPr>
      <w:r>
        <w:rPr>
          <w:rFonts w:hint="eastAsia" w:asciiTheme="minorEastAsia" w:hAnsiTheme="minorEastAsia" w:eastAsiaTheme="minorEastAsia"/>
          <w:bCs/>
          <w:sz w:val="28"/>
          <w:szCs w:val="28"/>
        </w:rPr>
        <w:t>无。</w:t>
      </w:r>
    </w:p>
    <w:sectPr>
      <w:footerReference r:id="rId3" w:type="default"/>
      <w:pgSz w:w="11906" w:h="16838"/>
      <w:pgMar w:top="1440" w:right="1803" w:bottom="1440" w:left="1803" w:header="851" w:footer="992" w:gutter="0"/>
      <w:cols w:space="0" w:num="1"/>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00007A87" w:usb1="80000000" w:usb2="00000008" w:usb3="00000000" w:csb0="400001FF" w:csb1="FFFF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3811536"/>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25608"/>
    <w:multiLevelType w:val="singleLevel"/>
    <w:tmpl w:val="87025608"/>
    <w:lvl w:ilvl="0" w:tentative="0">
      <w:start w:val="2"/>
      <w:numFmt w:val="chineseCounting"/>
      <w:suff w:val="nothing"/>
      <w:lvlText w:val="%1、"/>
      <w:lvlJc w:val="left"/>
      <w:rPr>
        <w:rFonts w:hint="eastAsia"/>
      </w:rPr>
    </w:lvl>
  </w:abstractNum>
  <w:abstractNum w:abstractNumId="1">
    <w:nsid w:val="8976E5E8"/>
    <w:multiLevelType w:val="singleLevel"/>
    <w:tmpl w:val="8976E5E8"/>
    <w:lvl w:ilvl="0" w:tentative="0">
      <w:start w:val="1"/>
      <w:numFmt w:val="chineseCounting"/>
      <w:suff w:val="nothing"/>
      <w:lvlText w:val="（%1）"/>
      <w:lvlJc w:val="left"/>
      <w:rPr>
        <w:rFonts w:hint="eastAsia"/>
      </w:rPr>
    </w:lvl>
  </w:abstractNum>
  <w:abstractNum w:abstractNumId="2">
    <w:nsid w:val="D1AB552D"/>
    <w:multiLevelType w:val="singleLevel"/>
    <w:tmpl w:val="D1AB552D"/>
    <w:lvl w:ilvl="0" w:tentative="0">
      <w:start w:val="2"/>
      <w:numFmt w:val="decimal"/>
      <w:suff w:val="nothing"/>
      <w:lvlText w:val="（%1）"/>
      <w:lvlJc w:val="left"/>
    </w:lvl>
  </w:abstractNum>
  <w:abstractNum w:abstractNumId="3">
    <w:nsid w:val="D2FC55B8"/>
    <w:multiLevelType w:val="singleLevel"/>
    <w:tmpl w:val="D2FC55B8"/>
    <w:lvl w:ilvl="0" w:tentative="0">
      <w:start w:val="2"/>
      <w:numFmt w:val="decimal"/>
      <w:suff w:val="nothing"/>
      <w:lvlText w:val="%1、"/>
      <w:lvlJc w:val="left"/>
    </w:lvl>
  </w:abstractNum>
  <w:abstractNum w:abstractNumId="4">
    <w:nsid w:val="5E06C9E5"/>
    <w:multiLevelType w:val="singleLevel"/>
    <w:tmpl w:val="5E06C9E5"/>
    <w:lvl w:ilvl="0" w:tentative="0">
      <w:start w:val="1"/>
      <w:numFmt w:val="decimal"/>
      <w:suff w:val="nothing"/>
      <w:lvlText w:val="%1、"/>
      <w:lvlJc w:val="left"/>
    </w:lvl>
  </w:abstractNum>
  <w:abstractNum w:abstractNumId="5">
    <w:nsid w:val="7E5AD69B"/>
    <w:multiLevelType w:val="singleLevel"/>
    <w:tmpl w:val="7E5AD69B"/>
    <w:lvl w:ilvl="0" w:tentative="0">
      <w:start w:val="2"/>
      <w:numFmt w:val="decimal"/>
      <w:suff w:val="nothing"/>
      <w:lvlText w:val="%1、"/>
      <w:lvlJc w:val="left"/>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VerticalSpacing w:val="16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533F0"/>
    <w:rsid w:val="00002D57"/>
    <w:rsid w:val="00037D81"/>
    <w:rsid w:val="00061BA5"/>
    <w:rsid w:val="00080DA4"/>
    <w:rsid w:val="000A0EA7"/>
    <w:rsid w:val="000F02A0"/>
    <w:rsid w:val="000F34E3"/>
    <w:rsid w:val="00101C66"/>
    <w:rsid w:val="0021585F"/>
    <w:rsid w:val="002163B8"/>
    <w:rsid w:val="00220E87"/>
    <w:rsid w:val="002A1325"/>
    <w:rsid w:val="002A1E01"/>
    <w:rsid w:val="002B540C"/>
    <w:rsid w:val="002C34E7"/>
    <w:rsid w:val="003D5899"/>
    <w:rsid w:val="003F051F"/>
    <w:rsid w:val="003F380F"/>
    <w:rsid w:val="003F6738"/>
    <w:rsid w:val="00435EAB"/>
    <w:rsid w:val="0045135E"/>
    <w:rsid w:val="00493F8C"/>
    <w:rsid w:val="004B3D9B"/>
    <w:rsid w:val="004E3E70"/>
    <w:rsid w:val="0050243E"/>
    <w:rsid w:val="005119D8"/>
    <w:rsid w:val="00516715"/>
    <w:rsid w:val="005358B5"/>
    <w:rsid w:val="00563815"/>
    <w:rsid w:val="00581DAA"/>
    <w:rsid w:val="006200CF"/>
    <w:rsid w:val="00677BF3"/>
    <w:rsid w:val="006E56CE"/>
    <w:rsid w:val="0072433F"/>
    <w:rsid w:val="007533F0"/>
    <w:rsid w:val="00760F6D"/>
    <w:rsid w:val="007D593E"/>
    <w:rsid w:val="007E5CA6"/>
    <w:rsid w:val="007F38FE"/>
    <w:rsid w:val="00802E69"/>
    <w:rsid w:val="0089477E"/>
    <w:rsid w:val="008D4AF2"/>
    <w:rsid w:val="008F106A"/>
    <w:rsid w:val="00933E2F"/>
    <w:rsid w:val="009A4669"/>
    <w:rsid w:val="009F4581"/>
    <w:rsid w:val="00A163E7"/>
    <w:rsid w:val="00A42243"/>
    <w:rsid w:val="00AA5A76"/>
    <w:rsid w:val="00AA7014"/>
    <w:rsid w:val="00AD43E6"/>
    <w:rsid w:val="00AD7548"/>
    <w:rsid w:val="00AE324E"/>
    <w:rsid w:val="00B20F80"/>
    <w:rsid w:val="00C24A95"/>
    <w:rsid w:val="00C402FA"/>
    <w:rsid w:val="00C7011E"/>
    <w:rsid w:val="00C756AC"/>
    <w:rsid w:val="00C76B86"/>
    <w:rsid w:val="00DE5A2C"/>
    <w:rsid w:val="00E00B43"/>
    <w:rsid w:val="00E14D8D"/>
    <w:rsid w:val="00E34743"/>
    <w:rsid w:val="00E92C20"/>
    <w:rsid w:val="00ED58A1"/>
    <w:rsid w:val="00F223B9"/>
    <w:rsid w:val="00F22BC2"/>
    <w:rsid w:val="00FC2023"/>
    <w:rsid w:val="026E08E9"/>
    <w:rsid w:val="04BF3987"/>
    <w:rsid w:val="05585B9D"/>
    <w:rsid w:val="059C2706"/>
    <w:rsid w:val="09505177"/>
    <w:rsid w:val="0B06293D"/>
    <w:rsid w:val="0D81158C"/>
    <w:rsid w:val="0DCA486D"/>
    <w:rsid w:val="0F415C11"/>
    <w:rsid w:val="10A807BD"/>
    <w:rsid w:val="10BD53E1"/>
    <w:rsid w:val="116C540F"/>
    <w:rsid w:val="11E13B32"/>
    <w:rsid w:val="14824EB4"/>
    <w:rsid w:val="19250DA4"/>
    <w:rsid w:val="1AC624ED"/>
    <w:rsid w:val="1BBA22DB"/>
    <w:rsid w:val="1DD56CDB"/>
    <w:rsid w:val="237E1476"/>
    <w:rsid w:val="25031FE4"/>
    <w:rsid w:val="25946FF4"/>
    <w:rsid w:val="282E2360"/>
    <w:rsid w:val="28DD7EB9"/>
    <w:rsid w:val="2AA92D50"/>
    <w:rsid w:val="300B0D8C"/>
    <w:rsid w:val="33743614"/>
    <w:rsid w:val="378E5EFF"/>
    <w:rsid w:val="3921002A"/>
    <w:rsid w:val="3C18425E"/>
    <w:rsid w:val="40B14C42"/>
    <w:rsid w:val="4384588C"/>
    <w:rsid w:val="43B077F7"/>
    <w:rsid w:val="44CC152F"/>
    <w:rsid w:val="4670553C"/>
    <w:rsid w:val="4CEC34A0"/>
    <w:rsid w:val="4D810266"/>
    <w:rsid w:val="53DB5C67"/>
    <w:rsid w:val="5C65201C"/>
    <w:rsid w:val="5F7346AA"/>
    <w:rsid w:val="639F7B75"/>
    <w:rsid w:val="693857FF"/>
    <w:rsid w:val="6F3A2026"/>
    <w:rsid w:val="71DE1B0E"/>
    <w:rsid w:val="731D2090"/>
    <w:rsid w:val="752D2D91"/>
    <w:rsid w:val="75F10E0B"/>
    <w:rsid w:val="7A562E20"/>
    <w:rsid w:val="7B047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character" w:customStyle="1" w:styleId="8">
    <w:name w:val="页眉 Char"/>
    <w:basedOn w:val="6"/>
    <w:link w:val="4"/>
    <w:qFormat/>
    <w:uiPriority w:val="99"/>
    <w:rPr>
      <w:rFonts w:ascii="Calibri" w:hAnsi="Calibri"/>
      <w:kern w:val="2"/>
      <w:sz w:val="18"/>
      <w:szCs w:val="18"/>
    </w:rPr>
  </w:style>
  <w:style w:type="character" w:customStyle="1" w:styleId="9">
    <w:name w:val="页脚 Char"/>
    <w:basedOn w:val="6"/>
    <w:link w:val="3"/>
    <w:qFormat/>
    <w:uiPriority w:val="99"/>
    <w:rPr>
      <w:rFonts w:ascii="Calibri" w:hAnsi="Calibri"/>
      <w:kern w:val="2"/>
      <w:sz w:val="18"/>
      <w:szCs w:val="18"/>
    </w:rPr>
  </w:style>
  <w:style w:type="character" w:customStyle="1" w:styleId="10">
    <w:name w:val="批注框文本 Char"/>
    <w:basedOn w:val="6"/>
    <w:link w:val="2"/>
    <w:qFormat/>
    <w:uiPriority w:val="0"/>
    <w:rPr>
      <w:rFonts w:ascii="Calibri" w:hAnsi="Calibri"/>
      <w:kern w:val="2"/>
      <w:sz w:val="18"/>
      <w:szCs w:val="18"/>
    </w:rPr>
  </w:style>
  <w:style w:type="paragraph" w:styleId="11">
    <w:name w:val="List Paragraph"/>
    <w:basedOn w:val="1"/>
    <w:unhideWhenUsed/>
    <w:qFormat/>
    <w:uiPriority w:val="99"/>
    <w:pPr>
      <w:ind w:firstLine="420" w:firstLineChars="200"/>
    </w:p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Char"/>
    <w:basedOn w:val="6"/>
    <w:link w:val="12"/>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677D48-E4BA-4DDA-A911-80D2D991B7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1480</Words>
  <Characters>8436</Characters>
  <Lines>70</Lines>
  <Paragraphs>19</Paragraphs>
  <TotalTime>70</TotalTime>
  <ScaleCrop>false</ScaleCrop>
  <LinksUpToDate>false</LinksUpToDate>
  <CharactersWithSpaces>9897</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2019-07-25T07:38:42Z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